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1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9351"/>
      </w:tblGrid>
      <w:tr>
        <w:tblPrEx/>
        <w:trPr>
          <w:trHeight w:val="811"/>
        </w:trPr>
        <w:tc>
          <w:tcPr>
            <w:shd w:val="clear" w:color="auto" w:fill="auto"/>
            <w:tcW w:w="9351" w:type="dxa"/>
            <w:textDirection w:val="lrTb"/>
            <w:noWrap w:val="false"/>
          </w:tcPr>
          <w:p>
            <w:pPr>
              <w:jc w:val="right"/>
            </w:pPr>
            <w:r>
              <w:t xml:space="preserve">Приложение №1 к Документации о закупке</w:t>
            </w:r>
            <w:r/>
          </w:p>
        </w:tc>
      </w:tr>
      <w:tr>
        <w:tblPrEx/>
        <w:trPr>
          <w:trHeight w:val="811"/>
        </w:trPr>
        <w:tc>
          <w:tcPr>
            <w:shd w:val="clear" w:color="auto" w:fill="auto"/>
            <w:tcW w:w="9351" w:type="dxa"/>
            <w:textDirection w:val="lrTb"/>
            <w:noWrap w:val="false"/>
          </w:tcPr>
          <w:p>
            <w:pPr>
              <w:jc w:val="right"/>
              <w:spacing w:after="120"/>
              <w:tabs>
                <w:tab w:val="left" w:pos="828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iCs/>
          <w:sz w:val="28"/>
          <w:szCs w:val="28"/>
        </w:rPr>
      </w:pPr>
      <w:r>
        <w:rPr>
          <w:rFonts w:eastAsia="Calibri"/>
          <w:b/>
          <w:i/>
          <w:iCs/>
          <w:sz w:val="28"/>
          <w:szCs w:val="28"/>
        </w:rPr>
        <w:t xml:space="preserve">Технические требования на оказание услуг</w:t>
      </w:r>
      <w:r>
        <w:rPr>
          <w:rFonts w:eastAsia="Calibri"/>
          <w:b/>
          <w:i/>
          <w:iCs/>
          <w:sz w:val="28"/>
          <w:szCs w:val="28"/>
        </w:rPr>
      </w:r>
      <w:r>
        <w:rPr>
          <w:rFonts w:eastAsia="Calibri"/>
          <w:b/>
          <w:i/>
          <w:iCs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i/>
          <w:iCs/>
          <w:sz w:val="28"/>
          <w:szCs w:val="28"/>
        </w:rPr>
      </w:pPr>
      <w:r>
        <w:rPr>
          <w:rFonts w:eastAsia="Calibri"/>
          <w:b/>
          <w:i/>
          <w:iCs/>
          <w:sz w:val="28"/>
          <w:szCs w:val="28"/>
        </w:rPr>
      </w:r>
      <w:r>
        <w:rPr>
          <w:rFonts w:eastAsia="Calibri"/>
          <w:b/>
          <w:i/>
          <w:iCs/>
          <w:sz w:val="28"/>
          <w:szCs w:val="28"/>
        </w:rPr>
      </w:r>
      <w:r>
        <w:rPr>
          <w:rFonts w:eastAsia="Calibri"/>
          <w:b/>
          <w:i/>
          <w:iCs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tabs>
          <w:tab w:val="left" w:pos="321" w:leader="none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</w:r>
      <w:r>
        <w:rPr>
          <w:b/>
          <w:bCs/>
          <w:i/>
          <w:iCs/>
          <w:color w:val="000000" w:themeColor="text1"/>
          <w:sz w:val="28"/>
          <w:szCs w:val="28"/>
        </w:rPr>
        <w:t xml:space="preserve">О</w:t>
      </w:r>
      <w:r>
        <w:rPr>
          <w:b/>
          <w:bCs/>
          <w:i/>
          <w:iCs/>
          <w:color w:val="000000" w:themeColor="text1"/>
          <w:sz w:val="28"/>
          <w:szCs w:val="28"/>
        </w:rPr>
        <w:t xml:space="preserve">КПД2 33.13.19 Оказание услуг по регламентированному обслуживанию программного обеспечения локальной системы автоматизированного управления Woodward, проверка уставок и алгоритмов технологических защит газотурбинных установок  для ТЭЦ Восточная, г. Владивос</w:t>
      </w:r>
      <w:r>
        <w:rPr>
          <w:b/>
          <w:bCs/>
          <w:i/>
          <w:iCs/>
          <w:color w:val="000000" w:themeColor="text1"/>
          <w:sz w:val="28"/>
          <w:szCs w:val="28"/>
        </w:rPr>
        <w:t xml:space="preserve">ток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ind w:left="-107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i/>
          <w:iCs/>
          <w14:ligatures w14:val="none"/>
        </w:rPr>
      </w:pPr>
      <w:r>
        <w:rPr>
          <w:rFonts w:eastAsia="Calibri"/>
          <w:b/>
          <w:bCs/>
          <w:i/>
          <w:iCs/>
          <w:sz w:val="28"/>
          <w:szCs w:val="28"/>
        </w:rPr>
        <w:t xml:space="preserve">Лот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 xml:space="preserve">41038017-ТО ПРОД-2026-ДГК-ВосТЭЦ</w:t>
      </w:r>
      <w:r>
        <w:rPr>
          <w:rFonts w:ascii="Times New Roman" w:hAnsi="Times New Roman" w:eastAsia="Times New Roman" w:cs="Times New Roman"/>
          <w:i/>
          <w:iCs/>
          <w14:ligatures w14:val="none"/>
        </w:rPr>
      </w:r>
      <w:r>
        <w:rPr>
          <w:rFonts w:ascii="Times New Roman" w:hAnsi="Times New Roman" w:eastAsia="Times New Roman" w:cs="Times New Roman"/>
          <w:i/>
          <w:iCs/>
          <w14:ligatures w14:val="non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rFonts w:eastAsia="Calibri"/>
          <w:b/>
          <w:bCs/>
          <w:i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</w:r>
      <w:r>
        <w:rPr>
          <w:rFonts w:eastAsia="Calibri"/>
          <w:b/>
          <w:bCs/>
          <w:i/>
          <w:sz w:val="28"/>
          <w:szCs w:val="28"/>
        </w:rPr>
      </w:r>
      <w:r>
        <w:rPr>
          <w:rFonts w:eastAsia="Calibri"/>
          <w:b/>
          <w:bCs/>
          <w:i/>
          <w:sz w:val="28"/>
          <w:szCs w:val="28"/>
        </w:rPr>
      </w:r>
    </w:p>
    <w:p>
      <w:pPr>
        <w:jc w:val="both"/>
        <w:keepLines/>
        <w:keepNext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jc w:val="center"/>
        <w:tabs>
          <w:tab w:val="left" w:pos="321" w:leader="none"/>
        </w:tabs>
        <w:rPr>
          <w:b/>
          <w:bCs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sz w:val="28"/>
          <w:szCs w:val="28"/>
        </w:rPr>
      </w:r>
    </w:p>
    <w:p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СОДЕРЖАНИЕ 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7958"/>
        <w:gridCol w:w="640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объемам и срокам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видам и объемам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срокам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3. Требования по срокам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 4. Требования к качеству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rPr>
          <w:sz w:val="24"/>
          <w:szCs w:val="24"/>
        </w:rPr>
      </w:pPr>
      <w:r/>
      <w:bookmarkStart w:id="0" w:name="_Toc46743506"/>
      <w:r/>
      <w:bookmarkStart w:id="1" w:name="_Toc5464369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eastAsia="Calibri"/>
          <w:b/>
          <w:bCs/>
          <w:sz w:val="24"/>
          <w:szCs w:val="24"/>
        </w:rPr>
      </w:pPr>
      <w:r>
        <w:br w:type="page" w:clear="all"/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pStyle w:val="831"/>
        <w:numPr>
          <w:ilvl w:val="0"/>
          <w:numId w:val="0"/>
        </w:numPr>
      </w:pPr>
      <w:r>
        <w:t xml:space="preserve">1. Общие сведения</w:t>
      </w:r>
      <w:r/>
    </w:p>
    <w:p>
      <w:pPr>
        <w:pStyle w:val="831"/>
      </w:pPr>
      <w:r>
        <w:t xml:space="preserve">Наименование закупаемой продукции</w:t>
      </w:r>
      <w:bookmarkEnd w:id="0"/>
      <w:r/>
      <w:bookmarkEnd w:id="1"/>
      <w:r>
        <w:t xml:space="preserve">:</w:t>
      </w:r>
      <w:r/>
    </w:p>
    <w:p>
      <w:pPr>
        <w:jc w:val="both"/>
        <w:tabs>
          <w:tab w:val="left" w:pos="321" w:leader="none"/>
        </w:tabs>
      </w:pPr>
      <w:r/>
      <w:bookmarkStart w:id="2" w:name="_Toc46743507"/>
      <w:r>
        <w:rPr>
          <w:color w:val="000000" w:themeColor="text1"/>
          <w:sz w:val="24"/>
          <w:szCs w:val="24"/>
        </w:rPr>
        <w:t xml:space="preserve">Р</w:t>
      </w:r>
      <w:r>
        <w:rPr>
          <w:color w:val="000000" w:themeColor="text1"/>
          <w:sz w:val="24"/>
          <w:szCs w:val="24"/>
        </w:rPr>
        <w:t xml:space="preserve">егламентированно</w:t>
      </w:r>
      <w:r>
        <w:rPr>
          <w:color w:val="000000" w:themeColor="text1"/>
          <w:sz w:val="24"/>
          <w:szCs w:val="24"/>
        </w:rPr>
        <w:t xml:space="preserve">е</w:t>
      </w:r>
      <w:r>
        <w:rPr>
          <w:color w:val="000000" w:themeColor="text1"/>
          <w:sz w:val="24"/>
          <w:szCs w:val="24"/>
        </w:rPr>
        <w:t xml:space="preserve"> обслуживани</w:t>
      </w:r>
      <w:r>
        <w:rPr>
          <w:color w:val="000000" w:themeColor="text1"/>
          <w:sz w:val="24"/>
          <w:szCs w:val="24"/>
        </w:rPr>
        <w:t xml:space="preserve">е</w:t>
      </w:r>
      <w:r>
        <w:rPr>
          <w:color w:val="000000" w:themeColor="text1"/>
          <w:sz w:val="24"/>
          <w:szCs w:val="24"/>
        </w:rPr>
        <w:t xml:space="preserve"> программного обеспечения локальной системы автоматизированного управления </w:t>
      </w:r>
      <w:r>
        <w:rPr>
          <w:color w:val="000000" w:themeColor="text1"/>
          <w:sz w:val="24"/>
          <w:szCs w:val="24"/>
        </w:rPr>
        <w:t xml:space="preserve">Woodward</w:t>
      </w:r>
      <w:r>
        <w:rPr>
          <w:color w:val="000000" w:themeColor="text1"/>
          <w:sz w:val="24"/>
          <w:szCs w:val="24"/>
        </w:rPr>
        <w:t xml:space="preserve">, проверка </w:t>
      </w:r>
      <w:r>
        <w:rPr>
          <w:color w:val="000000" w:themeColor="text1"/>
          <w:sz w:val="24"/>
          <w:szCs w:val="24"/>
        </w:rPr>
        <w:t xml:space="preserve">уставок</w:t>
      </w:r>
      <w:r>
        <w:rPr>
          <w:color w:val="000000" w:themeColor="text1"/>
          <w:sz w:val="24"/>
          <w:szCs w:val="24"/>
        </w:rPr>
        <w:t xml:space="preserve"> и алгоритмов технологических защит газотурбинных установок  для ТЭЦ Восточная, г. Владивосток</w:t>
      </w:r>
      <w:r>
        <w:rPr>
          <w:color w:val="000000" w:themeColor="text1"/>
          <w:sz w:val="24"/>
          <w:szCs w:val="24"/>
        </w:rPr>
        <w:t xml:space="preserve">.</w:t>
      </w:r>
      <w:r/>
    </w:p>
    <w:p>
      <w:pPr>
        <w:pStyle w:val="831"/>
        <w:ind w:left="431" w:hanging="431"/>
        <w:spacing w:before="240"/>
      </w:pPr>
      <w:r>
        <w:t xml:space="preserve">Цель </w:t>
      </w:r>
      <w:bookmarkEnd w:id="2"/>
      <w:r>
        <w:t xml:space="preserve">оказания услуг:</w:t>
      </w:r>
      <w:r/>
    </w:p>
    <w:p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Целью услуг по </w:t>
      </w:r>
      <w:r>
        <w:rPr>
          <w:color w:val="000000"/>
          <w:sz w:val="24"/>
          <w:szCs w:val="24"/>
          <w:lang w:bidi="ru-RU"/>
        </w:rPr>
        <w:t xml:space="preserve">регламентному</w:t>
      </w:r>
      <w:r>
        <w:rPr>
          <w:color w:val="000000" w:themeColor="text1"/>
          <w:sz w:val="24"/>
          <w:szCs w:val="24"/>
        </w:rPr>
        <w:t xml:space="preserve"> обслуживанию программного обеспечения локальной системы автоматизированного управления </w:t>
      </w:r>
      <w:r>
        <w:rPr>
          <w:color w:val="000000" w:themeColor="text1"/>
          <w:sz w:val="24"/>
          <w:szCs w:val="24"/>
        </w:rPr>
        <w:t xml:space="preserve">Woodward</w:t>
      </w:r>
      <w:r>
        <w:rPr>
          <w:color w:val="000000" w:themeColor="text1"/>
          <w:sz w:val="24"/>
          <w:szCs w:val="24"/>
        </w:rPr>
        <w:t xml:space="preserve">, проверки </w:t>
      </w:r>
      <w:r>
        <w:rPr>
          <w:color w:val="000000" w:themeColor="text1"/>
          <w:sz w:val="24"/>
          <w:szCs w:val="24"/>
        </w:rPr>
        <w:t xml:space="preserve">уставок</w:t>
      </w:r>
      <w:r>
        <w:rPr>
          <w:color w:val="000000" w:themeColor="text1"/>
          <w:sz w:val="24"/>
          <w:szCs w:val="24"/>
        </w:rPr>
        <w:t xml:space="preserve"> и алгоритмов технологических защит газотурбинных установок</w:t>
      </w:r>
      <w:r>
        <w:rPr>
          <w:color w:val="000000"/>
          <w:sz w:val="24"/>
          <w:szCs w:val="24"/>
          <w:lang w:bidi="ru-RU"/>
        </w:rPr>
        <w:t xml:space="preserve"> является в</w:t>
      </w:r>
      <w:r>
        <w:rPr>
          <w:sz w:val="24"/>
          <w:szCs w:val="24"/>
        </w:rPr>
        <w:t xml:space="preserve">ыполнение регламентированного технического обслуживания и устранение выявленных неисправностей для обеспечения эксплуатационной безопасности и надежности работы оборудования.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" w:name="_Toc54643699"/>
      <w:r>
        <w:rPr>
          <w:sz w:val="24"/>
          <w:szCs w:val="24"/>
        </w:rPr>
        <w:t xml:space="preserve">Таблица 1. Перечень объектов заказчика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7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98"/>
        <w:gridCol w:w="2296"/>
        <w:gridCol w:w="2621"/>
        <w:gridCol w:w="1522"/>
      </w:tblGrid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9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9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</w:r>
            <w:r>
              <w:rPr>
                <w:sz w:val="22"/>
                <w:szCs w:val="22"/>
              </w:rPr>
              <w:br/>
            </w:r>
            <w:r>
              <w:rPr>
                <w:i/>
                <w:iCs/>
                <w:sz w:val="22"/>
                <w:szCs w:val="22"/>
              </w:rPr>
              <w:t xml:space="preserve">(место оказания услуг)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2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</w:rPr>
              <w:br/>
              <w:t xml:space="preserve">(в отношении которого оказываются услуги)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898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96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21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881"/>
        </w:trPr>
        <w:tc>
          <w:tcPr>
            <w:tcW w:w="534" w:type="dxa"/>
            <w:textDirection w:val="lrTb"/>
            <w:noWrap w:val="false"/>
          </w:tcPr>
          <w:p>
            <w:pPr>
              <w:pStyle w:val="1053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898" w:type="dxa"/>
            <w:textDirection w:val="lrTb"/>
            <w:noWrap w:val="false"/>
          </w:tcPr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Программное обеспечение локальной системы автоматизированного управления </w:t>
            </w:r>
            <w:r>
              <w:rPr>
                <w:color w:val="000000" w:themeColor="text1"/>
                <w:sz w:val="24"/>
                <w:szCs w:val="24"/>
              </w:rPr>
              <w:t xml:space="preserve">Woodward</w:t>
            </w:r>
            <w:r>
              <w:rPr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296" w:type="dxa"/>
            <w:textDirection w:val="lrTb"/>
            <w:noWrap w:val="false"/>
          </w:tcPr>
          <w:p>
            <w:pPr>
              <w:ind w:right="72"/>
              <w:widowControl w:val="off"/>
              <w:tabs>
                <w:tab w:val="left" w:pos="6702" w:leader="none"/>
                <w:tab w:val="left" w:pos="6936" w:leader="none"/>
              </w:tabs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Приморский край, г. Владивосток, ул. Снеговая, 22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shd w:val="clear" w:color="auto" w:fill="auto"/>
            <w:tcW w:w="262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Газотурбинные установки ст. № 1,2,3.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center"/>
              <w:shd w:val="clear" w:color="ffffff" w:themeColor="background1" w:fill="ffffff" w:themeFill="background1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shd w:val="clear" w:color="auto" w:fill="auto"/>
            <w:tcW w:w="1522" w:type="dxa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СП «ТЭЦ Восточная»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pStyle w:val="828"/>
        <w:ind w:left="357" w:hanging="357"/>
        <w:jc w:val="center"/>
        <w:keepLines/>
        <w:rPr>
          <w:caps/>
          <w:sz w:val="24"/>
          <w:szCs w:val="24"/>
        </w:rPr>
      </w:pPr>
      <w:r/>
      <w:bookmarkStart w:id="4" w:name="_Toc46743509"/>
      <w:r/>
      <w:bookmarkStart w:id="5" w:name="_Hlk49857604"/>
      <w:r/>
      <w:bookmarkStart w:id="6" w:name="_Toc54643700"/>
      <w:r/>
      <w:bookmarkStart w:id="7" w:name="_Toc51339693"/>
      <w:r/>
      <w:bookmarkStart w:id="8" w:name="_Toc54643702"/>
      <w:r/>
      <w:bookmarkStart w:id="9" w:name="_Toc50125126"/>
      <w:r/>
      <w:bookmarkEnd w:id="4"/>
      <w:r/>
      <w:bookmarkEnd w:id="5"/>
      <w:r/>
      <w:bookmarkEnd w:id="6"/>
      <w:r>
        <w:rPr>
          <w:iCs/>
          <w:sz w:val="24"/>
          <w:szCs w:val="24"/>
        </w:rPr>
        <w:t xml:space="preserve">Требования к продукции</w:t>
      </w:r>
      <w:bookmarkEnd w:id="7"/>
      <w:r/>
      <w:bookmarkEnd w:id="8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831"/>
      </w:pPr>
      <w:r/>
      <w:bookmarkStart w:id="10" w:name="_Toc54643703"/>
      <w:r>
        <w:t xml:space="preserve">Требования к объемам и срокам оказания услуг</w:t>
      </w:r>
      <w:bookmarkEnd w:id="10"/>
      <w:r/>
      <w:r/>
    </w:p>
    <w:p>
      <w:pPr>
        <w:pStyle w:val="830"/>
      </w:pPr>
      <w:r/>
      <w:bookmarkStart w:id="11" w:name="_Toc54643704"/>
      <w:r>
        <w:t xml:space="preserve">Требования к перечню и объему услуг</w:t>
      </w:r>
      <w:bookmarkEnd w:id="11"/>
      <w:r/>
      <w:r/>
    </w:p>
    <w:p>
      <w:pPr>
        <w:pStyle w:val="82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2" w:name="_Toc51339695"/>
      <w:r/>
      <w:bookmarkStart w:id="13" w:name="_Toc54643705"/>
      <w:r>
        <w:rPr>
          <w:sz w:val="24"/>
          <w:szCs w:val="24"/>
        </w:rPr>
        <w:t xml:space="preserve">Таблица 2. Перечень </w:t>
      </w:r>
      <w:bookmarkEnd w:id="12"/>
      <w:r>
        <w:rPr>
          <w:sz w:val="24"/>
          <w:szCs w:val="24"/>
        </w:rPr>
        <w:t xml:space="preserve">и объем оказываемых услуг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1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4945"/>
        <w:gridCol w:w="1745"/>
        <w:gridCol w:w="2596"/>
      </w:tblGrid>
      <w:tr>
        <w:tblPrEx/>
        <w:trPr>
          <w:trHeight w:val="617"/>
        </w:trPr>
        <w:tc>
          <w:tcPr>
            <w:tcW w:w="7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4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4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4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4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9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26" w:type="dxa"/>
            <w:textDirection w:val="lrTb"/>
            <w:noWrap w:val="false"/>
          </w:tcPr>
          <w:p>
            <w:pPr>
              <w:pStyle w:val="1053"/>
              <w:numPr>
                <w:ilvl w:val="0"/>
                <w:numId w:val="9"/>
              </w:numPr>
            </w:pPr>
            <w:r/>
            <w:r/>
          </w:p>
        </w:tc>
        <w:tc>
          <w:tcPr>
            <w:tcW w:w="4945" w:type="dxa"/>
            <w:textDirection w:val="lrTb"/>
            <w:noWrap w:val="false"/>
          </w:tcPr>
          <w:p>
            <w:pPr>
              <w:tabs>
                <w:tab w:val="left" w:pos="321" w:leader="none"/>
              </w:tabs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Оказание услуг по регламентированному обслуживанию программного обеспечения локальной системы автоматизированного управления Woodward, проверка уставок и алгоритмов технологических защит газотурбинных установок  для ТЭЦ Восточная, г. Владивосток</w:t>
            </w:r>
            <w:r>
              <w:rPr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W w:w="4341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В соответствии с ведомостью объемов услуг (Приложение №1 к настоящим Техническим требованиям)</w:t>
            </w:r>
            <w:r/>
          </w:p>
        </w:tc>
      </w:tr>
    </w:tbl>
    <w:p>
      <w:pPr>
        <w:pStyle w:val="830"/>
      </w:pPr>
      <w:r/>
      <w:bookmarkStart w:id="14" w:name="_Toc51339696"/>
      <w:r/>
      <w:bookmarkStart w:id="15" w:name="_Toc54643706"/>
      <w:r>
        <w:t xml:space="preserve">Требования </w:t>
      </w:r>
      <w:bookmarkEnd w:id="14"/>
      <w:r>
        <w:t xml:space="preserve">к срокам оказания услуг</w:t>
      </w:r>
      <w:bookmarkEnd w:id="15"/>
      <w:r/>
      <w:r/>
    </w:p>
    <w:p>
      <w:pPr>
        <w:pStyle w:val="82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0125127"/>
      <w:r/>
      <w:bookmarkStart w:id="17" w:name="_Toc51339697"/>
      <w:r/>
      <w:bookmarkStart w:id="18" w:name="_Toc54643707"/>
      <w:r/>
      <w:bookmarkEnd w:id="9"/>
      <w:r>
        <w:rPr>
          <w:sz w:val="24"/>
          <w:szCs w:val="24"/>
        </w:rPr>
        <w:t xml:space="preserve">Таблица 3. </w:t>
      </w:r>
      <w:bookmarkStart w:id="19" w:name="_Hlk50465284"/>
      <w:r>
        <w:rPr>
          <w:sz w:val="24"/>
          <w:szCs w:val="24"/>
        </w:rPr>
        <w:t xml:space="preserve">Требования к срокам </w:t>
      </w:r>
      <w:bookmarkEnd w:id="16"/>
      <w:r/>
      <w:bookmarkEnd w:id="17"/>
      <w:r/>
      <w:bookmarkEnd w:id="19"/>
      <w:r>
        <w:rPr>
          <w:sz w:val="24"/>
          <w:szCs w:val="24"/>
        </w:rPr>
        <w:t xml:space="preserve">оказания услуг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9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3260"/>
        <w:gridCol w:w="1984"/>
        <w:gridCol w:w="1984"/>
        <w:gridCol w:w="2411"/>
      </w:tblGrid>
      <w:tr>
        <w:tblPrEx/>
        <w:trPr/>
        <w:tc>
          <w:tcPr>
            <w:shd w:val="clear" w:color="auto" w:fill="auto"/>
            <w:tcW w:w="4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№ п/п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Наименование услуг/ этапа услуг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Требования к началу срока оказания услуг/ этапа услуг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Требования к окончанию срока оказания услуг / этапа услуг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41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Примечание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080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080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1080"/>
              <w:ind w:left="0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jc w:val="both"/>
              <w:tabs>
                <w:tab w:val="left" w:pos="321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Оказание услуг по регламентированному обслуживанию программного обеспечения локальной системы автоматизированного управления Woodward, проверка уставок и алгоритмов технологических защит газотурбинных установок  для ТЭЦ Восточная,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момента подписания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8 месяцев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1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tabs>
                <w:tab w:val="left" w:pos="321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Указаны сроки с учетом планового вывода оборудования в </w:t>
            </w:r>
            <w:r>
              <w:rPr>
                <w:color w:val="000000"/>
                <w:sz w:val="24"/>
                <w:szCs w:val="24"/>
              </w:rPr>
              <w:t xml:space="preserve">ремонт. Возможна актуализация сроков</w:t>
            </w:r>
            <w:r>
              <w:rPr>
                <w:sz w:val="24"/>
                <w:szCs w:val="24"/>
              </w:rPr>
              <w:t xml:space="preserve"> оказания услуг по фактически согласованным срокам вывода оборудования в ремонт.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993" w:right="851" w:bottom="568" w:left="1701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1"/>
      </w:pPr>
      <w:r>
        <w:rPr>
          <w:b w:val="0"/>
          <w:bCs w:val="0"/>
        </w:rPr>
        <w:t xml:space="preserve">Требования к качеству услуг</w:t>
      </w:r>
      <w:r/>
    </w:p>
    <w:p>
      <w:pPr>
        <w:pStyle w:val="82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качеству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321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 Таблицы 2): </w:t>
      </w:r>
      <w:r>
        <w:rPr>
          <w:color w:val="000000" w:themeColor="text1"/>
          <w:sz w:val="24"/>
          <w:szCs w:val="24"/>
        </w:rPr>
        <w:t xml:space="preserve">Оказание услуг по регламентированному обслуживанию программного обеспечения локальной системы автоматизированного управления Woodward, проверка уставок и алгоритмов технологических защит газотурбинных установок  для ТЭЦ Восточная, г. Владивосток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Style w:val="1082"/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rStyle w:val="1082"/>
          <w:iCs/>
          <w:sz w:val="24"/>
          <w:szCs w:val="24"/>
        </w:rPr>
      </w:r>
      <w:r>
        <w:rPr>
          <w:rStyle w:val="1082"/>
          <w:iCs/>
          <w:sz w:val="24"/>
          <w:szCs w:val="24"/>
        </w:rPr>
      </w:r>
    </w:p>
    <w:tbl>
      <w:tblPr>
        <w:tblStyle w:val="1010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7"/>
        <w:gridCol w:w="3088"/>
        <w:gridCol w:w="5352"/>
        <w:gridCol w:w="2942"/>
        <w:gridCol w:w="2174"/>
      </w:tblGrid>
      <w:tr>
        <w:tblPrEx/>
        <w:trPr/>
        <w:tc>
          <w:tcPr>
            <w:tcW w:w="104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Наименование Параметра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1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4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8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35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440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1.1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gridSpan w:val="2"/>
            <w:tcW w:w="844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2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</w:pPr>
            <w:r>
              <w:t xml:space="preserve">1.1.1.</w:t>
            </w:r>
            <w:r/>
          </w:p>
        </w:tc>
        <w:tc>
          <w:tcPr>
            <w:shd w:val="clear" w:color="ffffff" w:fill="ffffff"/>
            <w:tcW w:w="3088" w:type="dxa"/>
            <w:textDirection w:val="lrTb"/>
            <w:noWrap w:val="false"/>
          </w:tcPr>
          <w:p>
            <w:pPr>
              <w:jc w:val="both"/>
              <w:tabs>
                <w:tab w:val="left" w:pos="321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 оказании услуг должны соблюдаться требования следующих нормативных документов: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5352" w:type="dxa"/>
            <w:vAlign w:val="center"/>
            <w:textDirection w:val="lrTb"/>
            <w:noWrap w:val="false"/>
          </w:tcPr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Приказ Минэнерго России от 25.10.2017 N 1013 (редакция от 13.07.2020) "Об утверждении требований к обеспечению надежности электроэнергетических систем, надежности и безопасности объектов электроэнергетики и </w:t>
            </w:r>
            <w:r>
              <w:t xml:space="preserve">энергопринимающих</w:t>
            </w:r>
            <w:r>
              <w:t xml:space="preserve"> установок "Правила организации технического обслуживания и ремонта объектов электроэнергетики" (Зарегистрировано в Минюсте России 26.03.2018 N 50503);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Положение о допуске персонала подрядных организаций к выполнению работ на объектах АО «ДГК» 22.1-504-2025;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СО 34.03.201-97 (РД 153-34.03.201-97) - Правила техники безопасности при эксплуатации тепломеханического оборудования электростанций и тепловых сетей;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СО 34.03.301-00 (РД 153-34.0-03.301-00) - Правила пожарной безопасности для энергетических предприятий;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СО 153-34.03.204 (РД 34.03.203) – Правила безопасности при работе с инструментом и приспособлениями;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Правил по охране труда при эксплуатации электроустановок: (Утв. Приказом Минтруда России от 15.12.2020 N 903н "Об утверждении Правил по охране труда при эксплуатации электроустановок", Зарегистрировано в Минюсте России 30.12.2020 N 61957;</w:t>
            </w:r>
            <w:r/>
          </w:p>
          <w:p>
            <w:pPr>
              <w:pStyle w:val="1047"/>
              <w:numPr>
                <w:ilvl w:val="0"/>
                <w:numId w:val="31"/>
              </w:numPr>
              <w:ind w:left="160" w:firstLine="158"/>
              <w:jc w:val="both"/>
              <w:spacing w:line="240" w:lineRule="auto"/>
            </w:pPr>
            <w:r>
              <w:t xml:space="preserve"> Руководства по эксплуатации: </w:t>
            </w:r>
            <w:r/>
          </w:p>
          <w:p>
            <w:pPr>
              <w:ind w:left="160" w:firstLine="158"/>
              <w:jc w:val="both"/>
              <w:widowControl w:val="off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«Система цифрового управления </w:t>
            </w:r>
            <w:r>
              <w:rPr>
                <w:sz w:val="24"/>
                <w:szCs w:val="24"/>
                <w:lang w:val="en-US"/>
              </w:rPr>
              <w:t xml:space="preserve">MicroNet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Simplex</w:t>
            </w:r>
            <w:r>
              <w:rPr>
                <w:sz w:val="24"/>
                <w:szCs w:val="24"/>
              </w:rPr>
              <w:t xml:space="preserve">, том 1 и 2» (</w:t>
            </w:r>
            <w:r>
              <w:rPr>
                <w:sz w:val="24"/>
                <w:szCs w:val="24"/>
                <w:lang w:val="en-US"/>
              </w:rPr>
              <w:t xml:space="preserve">hs</w:t>
            </w:r>
            <w:r>
              <w:rPr>
                <w:sz w:val="24"/>
                <w:szCs w:val="24"/>
              </w:rPr>
              <w:t xml:space="preserve">_26166</w:t>
            </w:r>
            <w:r>
              <w:rPr>
                <w:sz w:val="24"/>
                <w:szCs w:val="24"/>
                <w:lang w:val="en-US"/>
              </w:rPr>
              <w:t xml:space="preserve">v</w:t>
            </w:r>
            <w:r>
              <w:rPr>
                <w:sz w:val="24"/>
                <w:szCs w:val="24"/>
              </w:rPr>
              <w:t xml:space="preserve">1_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 xml:space="preserve">hs</w:t>
            </w:r>
            <w:r>
              <w:rPr>
                <w:sz w:val="24"/>
                <w:szCs w:val="24"/>
              </w:rPr>
              <w:t xml:space="preserve">_26166</w:t>
            </w:r>
            <w:r>
              <w:rPr>
                <w:sz w:val="24"/>
                <w:szCs w:val="24"/>
                <w:lang w:val="en-US"/>
              </w:rPr>
              <w:t xml:space="preserve">v</w:t>
            </w:r>
            <w:r>
              <w:rPr>
                <w:sz w:val="24"/>
                <w:szCs w:val="24"/>
              </w:rPr>
              <w:t xml:space="preserve">2_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60" w:firstLine="158"/>
              <w:jc w:val="both"/>
              <w:widowControl w:val="off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«Руководство по установке и эксплуатации системы управления </w:t>
            </w:r>
            <w:r>
              <w:rPr>
                <w:sz w:val="24"/>
                <w:szCs w:val="24"/>
                <w:lang w:val="en-US"/>
              </w:rPr>
              <w:t xml:space="preserve">MicroNet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TM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Control</w:t>
            </w:r>
            <w:r>
              <w:rPr>
                <w:sz w:val="24"/>
                <w:szCs w:val="24"/>
              </w:rPr>
              <w:t xml:space="preserve">» (</w:t>
            </w:r>
            <w:r>
              <w:rPr>
                <w:sz w:val="24"/>
                <w:szCs w:val="24"/>
                <w:lang w:val="en-US"/>
              </w:rPr>
              <w:t xml:space="preserve">hs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woo</w:t>
            </w:r>
            <w:r>
              <w:rPr>
                <w:sz w:val="24"/>
                <w:szCs w:val="24"/>
              </w:rPr>
              <w:t xml:space="preserve">85584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60" w:firstLine="158"/>
              <w:jc w:val="both"/>
              <w:widowControl w:val="off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«Руководство по установке и эксплуатации щита управления турбиной </w:t>
            </w:r>
            <w:r>
              <w:rPr>
                <w:sz w:val="24"/>
                <w:szCs w:val="24"/>
                <w:lang w:val="en-US"/>
              </w:rPr>
              <w:t xml:space="preserve">MicroNet</w:t>
            </w:r>
            <w:r>
              <w:rPr>
                <w:sz w:val="24"/>
                <w:szCs w:val="24"/>
              </w:rPr>
              <w:t xml:space="preserve"> для газовой турбины» (</w:t>
            </w:r>
            <w:r>
              <w:rPr>
                <w:sz w:val="24"/>
                <w:szCs w:val="24"/>
                <w:lang w:val="en-US"/>
              </w:rPr>
              <w:t xml:space="preserve">hs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woo</w:t>
            </w:r>
            <w:r>
              <w:rPr>
                <w:sz w:val="24"/>
                <w:szCs w:val="24"/>
              </w:rPr>
              <w:t xml:space="preserve">26395_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60" w:firstLine="158"/>
              <w:jc w:val="both"/>
              <w:widowControl w:val="off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«Руководство по установке и техническому обслуживанию шасси системы мониторинга </w:t>
            </w:r>
            <w:r>
              <w:rPr>
                <w:sz w:val="24"/>
                <w:szCs w:val="24"/>
                <w:lang w:val="en-US"/>
              </w:rPr>
              <w:t xml:space="preserve">Bently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Nevada</w:t>
            </w:r>
            <w:r>
              <w:rPr>
                <w:sz w:val="24"/>
                <w:szCs w:val="24"/>
              </w:rPr>
              <w:t xml:space="preserve">» (129766-01_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60" w:firstLine="158"/>
              <w:jc w:val="both"/>
              <w:widowControl w:val="off"/>
              <w:tabs>
                <w:tab w:val="left" w:pos="14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«Руководство по утилитам и конфигурации шасси системы мониторинга </w:t>
            </w:r>
            <w:r>
              <w:rPr>
                <w:sz w:val="24"/>
                <w:szCs w:val="24"/>
                <w:lang w:val="en-US"/>
              </w:rPr>
              <w:t xml:space="preserve">Bently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Nevada</w:t>
            </w:r>
            <w:r>
              <w:rPr>
                <w:sz w:val="24"/>
                <w:szCs w:val="24"/>
              </w:rPr>
              <w:t xml:space="preserve">» (129777-01_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08"/>
              <w:ind w:left="160" w:firstLine="158"/>
              <w:spacing w:before="0" w:after="0" w:line="240" w:lineRule="auto"/>
              <w:shd w:val="clear" w:color="auto" w:fill="auto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«Руководство по модулям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Bently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Nevada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ind w:left="160" w:firstLine="158"/>
              <w:spacing w:before="0" w:after="0" w:line="240" w:lineRule="auto"/>
              <w:shd w:val="clear" w:color="auto" w:fill="auto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W w:w="2942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/>
          </w:p>
        </w:tc>
        <w:tc>
          <w:tcPr>
            <w:shd w:val="clear" w:color="auto" w:fill="auto"/>
            <w:tcW w:w="2174" w:type="dxa"/>
            <w:textDirection w:val="lrTb"/>
            <w:noWrap w:val="false"/>
          </w:tcPr>
          <w:p>
            <w:pPr>
              <w:pStyle w:val="1077"/>
              <w:keepNext w:val="0"/>
              <w:spacing w:before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</w:pPr>
            <w:r>
              <w:t xml:space="preserve">1.2.</w:t>
            </w:r>
            <w:r/>
          </w:p>
        </w:tc>
        <w:tc>
          <w:tcPr>
            <w:gridSpan w:val="2"/>
            <w:tcW w:w="8440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Требования к способам оказания услуг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93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</w:pPr>
            <w:r>
              <w:t xml:space="preserve">1.2.1.</w:t>
            </w:r>
            <w:r/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sz w:val="24"/>
                <w:szCs w:val="24"/>
                <w:lang w:bidi="ru-RU"/>
              </w:rPr>
              <w:t xml:space="preserve">Требование к способам оказания услуг</w:t>
            </w:r>
            <w:r>
              <w:rPr>
                <w:iCs/>
                <w:sz w:val="24"/>
                <w:szCs w:val="24"/>
              </w:rPr>
              <w:t xml:space="preserve"> </w:t>
            </w:r>
            <w:r/>
          </w:p>
        </w:tc>
        <w:tc>
          <w:tcPr>
            <w:shd w:val="clear" w:color="auto" w:fill="auto"/>
            <w:tcW w:w="5352" w:type="dxa"/>
            <w:textDirection w:val="lrTb"/>
            <w:noWrap w:val="false"/>
          </w:tcPr>
          <w:p>
            <w:pPr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 xml:space="preserve">Работы проводятся на территории Заказчика. Использовать диагностическое оборудование и инструмент исполнителя. Вносимые изменения в конфигурацию оборудования должны быть согласованы с Заказчиком.</w:t>
            </w:r>
            <w:r>
              <w:rPr>
                <w:sz w:val="24"/>
                <w:szCs w:val="24"/>
                <w:lang w:bidi="ru-RU"/>
              </w:rPr>
            </w:r>
            <w:r>
              <w:rPr>
                <w:sz w:val="24"/>
                <w:szCs w:val="24"/>
                <w:lang w:bidi="ru-RU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spacing w:before="60"/>
            </w:pPr>
            <w:r>
              <w:rPr>
                <w:sz w:val="24"/>
                <w:szCs w:val="24"/>
              </w:rPr>
              <w:t xml:space="preserve">Требования к процедурам оказания услуг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исполнителя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pStyle w:val="1053"/>
              <w:numPr>
                <w:ilvl w:val="0"/>
                <w:numId w:val="13"/>
              </w:numPr>
              <w:ind w:left="8" w:hanging="8"/>
              <w:jc w:val="both"/>
              <w:spacing w:line="276" w:lineRule="auto"/>
              <w:tabs>
                <w:tab w:val="left" w:pos="238" w:leader="none"/>
              </w:tabs>
            </w:pPr>
            <w:r>
              <w:t xml:space="preserve">Соблюдаются требования, установленные Инструкцией о пропускном и </w:t>
            </w:r>
            <w:r>
              <w:t xml:space="preserve">внутриобъектовом</w:t>
            </w:r>
            <w:r>
              <w:t xml:space="preserve"> режимах на охраняемой территории СП «ТЭЦ «Восточная»;</w:t>
            </w:r>
            <w:r/>
          </w:p>
          <w:p>
            <w:pPr>
              <w:pStyle w:val="1053"/>
              <w:numPr>
                <w:ilvl w:val="0"/>
                <w:numId w:val="13"/>
              </w:numPr>
              <w:ind w:left="8" w:hanging="8"/>
              <w:jc w:val="both"/>
              <w:spacing w:line="276" w:lineRule="auto"/>
              <w:tabs>
                <w:tab w:val="left" w:pos="238" w:leader="none"/>
              </w:tabs>
              <w:rPr>
                <w:iCs/>
              </w:rPr>
            </w:pPr>
            <w:r>
              <w:t xml:space="preserve">Соблюдаются требования, установленные Положением о допуске персонала строительно-монтажных организаций и командированного персонала к выполнению работ на объектах АО «ДГК»;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053"/>
              <w:numPr>
                <w:ilvl w:val="0"/>
                <w:numId w:val="13"/>
              </w:numPr>
              <w:ind w:left="8" w:hanging="8"/>
              <w:jc w:val="both"/>
              <w:spacing w:line="276" w:lineRule="auto"/>
              <w:tabs>
                <w:tab w:val="left" w:pos="238" w:leader="none"/>
              </w:tabs>
              <w:rPr>
                <w:iCs/>
              </w:rPr>
            </w:pPr>
            <w:r>
              <w:t xml:space="preserve">Подготовку рабочих мест и допуск к </w:t>
            </w:r>
            <w:r>
              <w:rPr>
                <w:iCs/>
              </w:rPr>
              <w:t xml:space="preserve">оказанию</w:t>
            </w:r>
            <w:r>
              <w:t xml:space="preserve"> услуг выполняет персонал заказчика.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left="8" w:hanging="8"/>
              <w:jc w:val="both"/>
              <w:spacing w:line="276" w:lineRule="auto"/>
              <w:tabs>
                <w:tab w:val="left" w:pos="238" w:leader="none"/>
              </w:tabs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  <w:p>
            <w:pPr>
              <w:pStyle w:val="1077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568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1.3.2.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Требование к информационной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left="8" w:hanging="8"/>
              <w:tabs>
                <w:tab w:val="left" w:pos="238" w:leader="none"/>
              </w:tabs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При пересылке файлов не допускается использование открытых </w:t>
            </w:r>
            <w:r>
              <w:rPr>
                <w:iCs/>
                <w:sz w:val="24"/>
              </w:rPr>
              <w:t xml:space="preserve">файлообменных</w:t>
            </w:r>
            <w:r>
              <w:rPr>
                <w:iCs/>
                <w:sz w:val="24"/>
              </w:rPr>
              <w:t xml:space="preserve"> сервисов.</w:t>
            </w:r>
            <w:r>
              <w:rPr>
                <w:iCs/>
                <w:sz w:val="24"/>
              </w:rPr>
            </w:r>
            <w:r>
              <w:rPr>
                <w:iCs/>
                <w:sz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  <w:p>
            <w:pPr>
              <w:pStyle w:val="1077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</w:pPr>
            <w:r>
              <w:t xml:space="preserve">1.4.</w:t>
            </w:r>
            <w:r/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spacing w:before="60"/>
            </w:pPr>
            <w:r>
              <w:rPr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>
          <w:trHeight w:val="1852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0"/>
              <w:spacing w:before="60" w:after="60"/>
            </w:pPr>
            <w:r>
              <w:t xml:space="preserve">1.4.1.</w:t>
            </w:r>
            <w:r/>
          </w:p>
          <w:p>
            <w:pPr>
              <w:pStyle w:val="1053"/>
              <w:ind w:left="25"/>
              <w:spacing w:before="60" w:after="60"/>
            </w:pPr>
            <w:r/>
            <w:r/>
          </w:p>
        </w:tc>
        <w:tc>
          <w:tcPr>
            <w:tcW w:w="3088" w:type="dxa"/>
            <w:textDirection w:val="lrTb"/>
            <w:noWrap w:val="false"/>
          </w:tcPr>
          <w:p>
            <w:pPr>
              <w:pStyle w:val="1053"/>
              <w:ind w:left="0"/>
            </w:pPr>
            <w:r>
              <w:t xml:space="preserve">Требования к применяемым при оказании услуг оборудованию и материалам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pStyle w:val="1053"/>
              <w:numPr>
                <w:ilvl w:val="0"/>
                <w:numId w:val="14"/>
              </w:numPr>
              <w:ind w:left="0" w:firstLine="0"/>
              <w:jc w:val="both"/>
              <w:spacing w:line="276" w:lineRule="auto"/>
              <w:tabs>
                <w:tab w:val="left" w:pos="291" w:leader="none"/>
              </w:tabs>
            </w:pPr>
            <w:r>
              <w:rPr>
                <w:iCs/>
              </w:rPr>
              <w:t xml:space="preserve">Необходимые расходные материалы для оказания услуг приобретаются исполнителем самостоятельно;</w:t>
            </w:r>
            <w:r/>
          </w:p>
          <w:p>
            <w:pPr>
              <w:pStyle w:val="1053"/>
              <w:numPr>
                <w:ilvl w:val="0"/>
                <w:numId w:val="14"/>
              </w:numPr>
              <w:ind w:left="0" w:firstLine="0"/>
              <w:jc w:val="both"/>
              <w:spacing w:line="276" w:lineRule="auto"/>
              <w:tabs>
                <w:tab w:val="left" w:pos="291" w:leader="none"/>
              </w:tabs>
            </w:pPr>
            <w:r>
              <w:rPr>
                <w:iCs/>
              </w:rPr>
              <w:t xml:space="preserve">Все поставляемые и применяемые материалы и оборудование должны быть новыми и не использованными ранее;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7"/>
              <w:jc w:val="left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412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25"/>
              <w:spacing w:before="60" w:after="60"/>
            </w:pPr>
            <w:r>
              <w:t xml:space="preserve">1.5.</w:t>
            </w:r>
            <w:r/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Требования к персоналу исполнителя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>
          <w:trHeight w:val="1051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25"/>
              <w:spacing w:before="60" w:after="60"/>
            </w:pPr>
            <w:r>
              <w:t xml:space="preserve">1.5.1</w:t>
            </w:r>
            <w:r/>
          </w:p>
        </w:tc>
        <w:tc>
          <w:tcPr>
            <w:tcW w:w="3088" w:type="dxa"/>
            <w:textDirection w:val="lrTb"/>
            <w:noWrap w:val="false"/>
          </w:tcPr>
          <w:p>
            <w:pPr>
              <w:pStyle w:val="1053"/>
              <w:ind w:left="0"/>
              <w:jc w:val="both"/>
              <w:widowControl w:val="off"/>
            </w:pPr>
            <w:r>
              <w:rPr>
                <w:iCs/>
              </w:rPr>
              <w:t xml:space="preserve">Квалификация персонала исполнителя, привлекаемого к оказанию услуг</w:t>
            </w:r>
            <w:r/>
          </w:p>
        </w:tc>
        <w:tc>
          <w:tcPr>
            <w:shd w:val="clear" w:color="auto" w:fill="auto"/>
            <w:tcW w:w="535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Указаны в п.5 Задание на оказание Услуг (Приложение №1 Договора)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jc w:val="left"/>
              <w:rPr>
                <w:b w:val="0"/>
              </w:rPr>
              <w:outlineLvl w:val="2"/>
            </w:pPr>
            <w:r>
              <w:rPr>
                <w:b w:val="0"/>
              </w:rPr>
              <w:t xml:space="preserve">-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1077"/>
              <w:jc w:val="left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414"/>
        </w:trPr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0"/>
              <w:spacing w:before="60" w:after="60"/>
              <w:rPr>
                <w:b/>
              </w:rPr>
            </w:pPr>
            <w:r>
              <w:rPr>
                <w:b/>
              </w:rPr>
              <w:t xml:space="preserve">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8440" w:type="dxa"/>
            <w:vAlign w:val="center"/>
            <w:textDirection w:val="lrTb"/>
            <w:noWrap w:val="false"/>
          </w:tcPr>
          <w:p>
            <w:pPr>
              <w:pStyle w:val="1053"/>
              <w:ind w:left="0"/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Общие требования к результатам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vAlign w:val="center"/>
            <w:textDirection w:val="lrTb"/>
            <w:noWrap w:val="false"/>
          </w:tcPr>
          <w:p>
            <w:pPr>
              <w:pStyle w:val="1053"/>
              <w:ind w:left="0"/>
              <w:jc w:val="both"/>
              <w:widowControl w:val="off"/>
            </w:pPr>
            <w:r>
              <w:t xml:space="preserve">Общие требования к результатам услуг</w:t>
            </w:r>
            <w:r/>
          </w:p>
        </w:tc>
        <w:tc>
          <w:tcPr>
            <w:shd w:val="clear" w:color="auto" w:fill="auto"/>
            <w:tcW w:w="5352" w:type="dxa"/>
            <w:vAlign w:val="center"/>
            <w:textDirection w:val="lrTb"/>
            <w:noWrap w:val="false"/>
          </w:tcPr>
          <w:p>
            <w:pPr>
              <w:ind w:hanging="9"/>
              <w:jc w:val="both"/>
              <w:tabs>
                <w:tab w:val="num" w:pos="0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Выполненное </w:t>
            </w:r>
            <w:r>
              <w:rPr>
                <w:iCs/>
                <w:sz w:val="24"/>
                <w:szCs w:val="24"/>
              </w:rPr>
              <w:t xml:space="preserve">регламентированное</w:t>
            </w:r>
            <w:bookmarkStart w:id="20" w:name="_GoBack"/>
            <w:r/>
            <w:bookmarkEnd w:id="20"/>
            <w:r>
              <w:rPr>
                <w:iCs/>
                <w:sz w:val="24"/>
                <w:szCs w:val="24"/>
              </w:rPr>
              <w:t xml:space="preserve"> обслуживание</w:t>
            </w:r>
            <w:r>
              <w:rPr>
                <w:color w:val="000000" w:themeColor="text1"/>
                <w:sz w:val="24"/>
                <w:szCs w:val="24"/>
              </w:rPr>
              <w:t xml:space="preserve"> программного обеспечения локальной системы автоматизированного управления </w:t>
            </w:r>
            <w:r>
              <w:rPr>
                <w:color w:val="000000" w:themeColor="text1"/>
                <w:sz w:val="24"/>
                <w:szCs w:val="24"/>
              </w:rPr>
              <w:t xml:space="preserve">Woodward</w:t>
            </w:r>
            <w:r>
              <w:rPr>
                <w:color w:val="000000" w:themeColor="text1"/>
                <w:sz w:val="24"/>
                <w:szCs w:val="24"/>
              </w:rPr>
              <w:t xml:space="preserve">, проверка </w:t>
            </w:r>
            <w:r>
              <w:rPr>
                <w:color w:val="000000" w:themeColor="text1"/>
                <w:sz w:val="24"/>
                <w:szCs w:val="24"/>
              </w:rPr>
              <w:t xml:space="preserve">уставок</w:t>
            </w:r>
            <w:r>
              <w:rPr>
                <w:color w:val="000000" w:themeColor="text1"/>
                <w:sz w:val="24"/>
                <w:szCs w:val="24"/>
              </w:rPr>
              <w:t xml:space="preserve"> и алгоритмов технологических защит газотурбинных установок.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5"/>
              <w:spacing w:before="60" w:after="60"/>
            </w:pPr>
            <w:r>
              <w:t xml:space="preserve">2.2.</w:t>
            </w:r>
            <w:r/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jc w:val="both"/>
              <w:tabs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использования результата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Требования к информационной безопасности результата оказания услуг</w:t>
            </w:r>
            <w:r/>
          </w:p>
          <w:p>
            <w:pPr>
              <w:pStyle w:val="10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pStyle w:val="1053"/>
              <w:ind w:left="0"/>
              <w:spacing w:after="60"/>
              <w:rPr>
                <w:rFonts w:eastAsia="Times New Roman"/>
                <w:iCs/>
              </w:rPr>
            </w:pPr>
            <w:r>
              <w:rPr>
                <w:iCs/>
              </w:rPr>
              <w:t xml:space="preserve">Требования информа</w:t>
            </w:r>
            <w:r>
              <w:rPr>
                <w:iCs/>
              </w:rPr>
              <w:t xml:space="preserve">ционной безопасности должны обеспечиваться на всех стадиях жизненного цикла Систем с учетом всех сторон, вовлеченных в процессы жизненного цикла (разработчиков, заказчиков, поставщиков продуктов и услуг, эксплуатирующих и надзорных подразделений Общества).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25"/>
              <w:spacing w:before="60" w:after="60"/>
            </w:pPr>
            <w:r>
              <w:t xml:space="preserve">2.3.</w:t>
            </w:r>
            <w:r/>
          </w:p>
        </w:tc>
        <w:tc>
          <w:tcPr>
            <w:gridSpan w:val="2"/>
            <w:tcW w:w="8440" w:type="dxa"/>
            <w:vAlign w:val="center"/>
            <w:textDirection w:val="lrTb"/>
            <w:noWrap w:val="false"/>
          </w:tcPr>
          <w:p>
            <w:r>
              <w:rPr>
                <w:bCs/>
                <w:sz w:val="24"/>
                <w:szCs w:val="24"/>
              </w:rPr>
              <w:t xml:space="preserve">Требования к приемке результата оказания услуг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pStyle w:val="1053"/>
              <w:ind w:left="25"/>
              <w:spacing w:before="60" w:after="60"/>
            </w:pPr>
            <w:r/>
            <w:r/>
          </w:p>
          <w:p>
            <w:pPr>
              <w:pStyle w:val="1053"/>
              <w:ind w:left="25"/>
              <w:spacing w:before="60" w:after="60"/>
            </w:pPr>
            <w:r>
              <w:t xml:space="preserve">2.3.1.</w:t>
            </w:r>
            <w:r/>
          </w:p>
        </w:tc>
        <w:tc>
          <w:tcPr>
            <w:tcW w:w="308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Проведение 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hanging="9"/>
              <w:jc w:val="both"/>
              <w:tabs>
                <w:tab w:val="num" w:pos="0" w:leader="none"/>
              </w:tabs>
              <w:rPr>
                <w:iCs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 xml:space="preserve">По завершению оказания услуг, исполнитель должен убедиться в исправности-работоспособности локальных систем автоматического управления «</w:t>
            </w:r>
            <w:r>
              <w:rPr>
                <w:iCs/>
                <w:sz w:val="24"/>
                <w:szCs w:val="24"/>
                <w:lang w:val="en-US"/>
              </w:rPr>
              <w:t xml:space="preserve">Woodward</w:t>
            </w:r>
            <w:r>
              <w:rPr>
                <w:iCs/>
                <w:sz w:val="24"/>
                <w:szCs w:val="24"/>
              </w:rPr>
              <w:t xml:space="preserve">», систем мониторинга </w:t>
            </w:r>
            <w:r>
              <w:rPr>
                <w:iCs/>
                <w:sz w:val="24"/>
                <w:szCs w:val="24"/>
                <w:lang w:val="en-US"/>
              </w:rPr>
              <w:t xml:space="preserve">Bently</w:t>
            </w:r>
            <w:r>
              <w:rPr>
                <w:iCs/>
                <w:sz w:val="24"/>
                <w:szCs w:val="24"/>
              </w:rPr>
              <w:t xml:space="preserve">-</w:t>
            </w:r>
            <w:r>
              <w:rPr>
                <w:iCs/>
                <w:sz w:val="24"/>
                <w:szCs w:val="24"/>
                <w:lang w:val="en-US"/>
              </w:rPr>
              <w:t xml:space="preserve">Nevada</w:t>
            </w:r>
            <w:r>
              <w:rPr>
                <w:iCs/>
                <w:sz w:val="24"/>
                <w:szCs w:val="24"/>
              </w:rPr>
              <w:t xml:space="preserve">, путем натурных испытаний с выводом каждой газотурбинной установки на холостой ход.</w:t>
            </w:r>
            <w:r>
              <w:rPr>
                <w:iCs/>
                <w:sz w:val="24"/>
                <w:szCs w:val="24"/>
                <w:highlight w:val="yellow"/>
              </w:rPr>
            </w:r>
            <w:r>
              <w:rPr>
                <w:iCs/>
                <w:sz w:val="24"/>
                <w:szCs w:val="24"/>
                <w:highlight w:val="yellow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  <w:t xml:space="preserve">-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ind w:left="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40" w:type="dxa"/>
            <w:vAlign w:val="center"/>
            <w:textDirection w:val="lrTb"/>
            <w:noWrap w:val="false"/>
          </w:tcPr>
          <w:p>
            <w:pPr>
              <w:spacing w:before="60"/>
            </w:pPr>
            <w:r>
              <w:rPr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Документы, передаваемые заказчику по результатам оказанных услуг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pPr>
              <w:pStyle w:val="1053"/>
              <w:ind w:left="0" w:firstLine="150"/>
              <w:jc w:val="both"/>
              <w:widowControl w:val="off"/>
              <w:tabs>
                <w:tab w:val="left" w:pos="213" w:leader="none"/>
              </w:tabs>
            </w:pPr>
            <w:r>
              <w:t xml:space="preserve">Отчет о результатах оказанных услуг, включает в себя:</w:t>
            </w:r>
            <w:r/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Список выявленных и устраненных в ходе оказания услуг дефектов;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3"/>
              <w:ind w:left="0"/>
              <w:jc w:val="both"/>
              <w:widowControl w:val="off"/>
            </w:pPr>
            <w:r>
              <w:t xml:space="preserve">-Техническую документацию на все вновь вводимые изменения существующего ПО с </w:t>
            </w:r>
            <w:r>
              <w:t xml:space="preserve">техническим описанием вносимых изменений;</w:t>
            </w:r>
            <w:r/>
          </w:p>
          <w:p>
            <w:pPr>
              <w:pStyle w:val="1053"/>
              <w:ind w:left="0"/>
              <w:jc w:val="both"/>
              <w:widowControl w:val="off"/>
            </w:pPr>
            <w:r>
              <w:t xml:space="preserve">- Рекомендации по возможным мероприятиям для обеспечения надежной эксплуатации оборудования;</w:t>
            </w:r>
            <w:r/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Формуляр с внесенными изменениями.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3"/>
              <w:ind w:left="0" w:firstLine="458"/>
              <w:jc w:val="both"/>
              <w:spacing w:line="276" w:lineRule="auto"/>
              <w:widowControl w:val="off"/>
            </w:pPr>
            <w:r>
              <w:t xml:space="preserve">Отчет представляется: </w:t>
            </w:r>
            <w:r/>
          </w:p>
          <w:p>
            <w:pPr>
              <w:pStyle w:val="1053"/>
              <w:ind w:left="0" w:firstLine="33"/>
              <w:jc w:val="both"/>
              <w:spacing w:line="276" w:lineRule="auto"/>
              <w:widowControl w:val="off"/>
            </w:pPr>
            <w:r>
              <w:t xml:space="preserve">-  на бумажном носителе в 2-х экземплярах;</w:t>
            </w:r>
            <w:r/>
          </w:p>
          <w:p>
            <w:pPr>
              <w:pStyle w:val="1053"/>
              <w:ind w:left="0"/>
              <w:jc w:val="both"/>
              <w:widowControl w:val="off"/>
              <w:rPr>
                <w:color w:val="000000"/>
                <w:highlight w:val="yellow"/>
              </w:rPr>
            </w:pPr>
            <w:r>
              <w:t xml:space="preserve">- на электронном носителе в 1 экземпляре в формате </w:t>
            </w:r>
            <w:r>
              <w:rPr>
                <w:lang w:val="en-US"/>
              </w:rPr>
              <w:t xml:space="preserve">doc</w:t>
            </w:r>
            <w:r>
              <w:t xml:space="preserve"> (</w:t>
            </w:r>
            <w:r>
              <w:rPr>
                <w:lang w:val="en-US"/>
              </w:rPr>
              <w:t xml:space="preserve">MS</w:t>
            </w:r>
            <w:r>
              <w:t xml:space="preserve"> </w:t>
            </w:r>
            <w:r>
              <w:rPr>
                <w:lang w:val="en-US"/>
              </w:rPr>
              <w:t xml:space="preserve">Word</w:t>
            </w:r>
            <w:r>
              <w:t xml:space="preserve">), </w:t>
            </w:r>
            <w:r>
              <w:rPr>
                <w:lang w:val="en-US"/>
              </w:rPr>
              <w:t xml:space="preserve">pdf</w:t>
            </w:r>
            <w:r>
              <w:t xml:space="preserve">. Размеры, форматы и содержание текстовых документов и чертежей, выполненные в электронных форматах, должны быть идентичны бумажному оригиналу, к которому они прилагаются.)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  <w:t xml:space="preserve">-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/>
        <w:tc>
          <w:tcPr>
            <w:tcW w:w="104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3.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>
          <w:trHeight w:val="360"/>
        </w:trPr>
        <w:tc>
          <w:tcPr>
            <w:tcBorders>
              <w:bottom w:val="single" w:color="auto" w:sz="4" w:space="0"/>
            </w:tcBorders>
            <w:tcW w:w="1047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spacing w:before="2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Услуги должны осуществляться в соответствии с национальными, отраслевыми и корпоративными (ПАО «</w:t>
            </w:r>
            <w:r>
              <w:rPr>
                <w:iCs/>
                <w:sz w:val="24"/>
                <w:szCs w:val="24"/>
              </w:rPr>
              <w:t xml:space="preserve">РусГидро</w:t>
            </w:r>
            <w:r>
              <w:rPr>
                <w:iCs/>
                <w:sz w:val="24"/>
                <w:szCs w:val="24"/>
              </w:rPr>
              <w:t xml:space="preserve">») нормативно-техническими документами (НТД) и нормативно-правовыми актами (НПА)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  <w:t xml:space="preserve">-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jc w:val="both"/>
              <w:spacing w:before="2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Гарантийный срок на результат услуг</w:t>
            </w:r>
            <w:r/>
          </w:p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jc w:val="both"/>
              <w:spacing w:before="2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12 месяцев с даты подписания Акта о приемке оказанных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40" w:type="dxa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8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/>
          </w:p>
        </w:tc>
        <w:tc>
          <w:tcPr>
            <w:tcW w:w="5352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В случае привлечения к оказанию услуг соисполнителей, исполнитель обязан  представить заказчику на момент согласования договора, документы, подтверждающие соответствие их квалификационного уровня, а также готовность и возможность оказания ими услуг.</w:t>
            </w:r>
            <w:r/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40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Требования к Победителю</w:t>
            </w:r>
            <w:r>
              <w:rPr>
                <w:b/>
                <w:bCs/>
                <w:iCs/>
                <w:sz w:val="24"/>
                <w:szCs w:val="24"/>
              </w:rPr>
            </w:r>
            <w:r>
              <w:rPr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29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74" w:type="dxa"/>
            <w:vMerge w:val="restart"/>
            <w:textDirection w:val="lrTb"/>
            <w:noWrap w:val="false"/>
          </w:tcPr>
          <w:p>
            <w:pPr>
              <w:pStyle w:val="1077"/>
              <w:keepNext w:val="0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13557" w:type="dxa"/>
            <w:vMerge w:val="restart"/>
            <w:textDirection w:val="lrTb"/>
            <w:noWrap w:val="false"/>
          </w:tcPr>
          <w:p>
            <w:pPr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частник, признанный победителем закупочной процедуры, в течение 5 (пяти) рабочих дней после размещения протокола подведения итогов закупки на сайте </w:t>
            </w:r>
            <w:r>
              <w:rPr>
                <w:rStyle w:val="1029"/>
                <w:rFonts w:ascii="Times New Roman" w:hAnsi="Times New Roman" w:eastAsia="Times New Roman" w:cs="Times New Roman"/>
                <w:i w:val="0"/>
                <w:iCs w:val="0"/>
                <w:color w:val="0000ee"/>
                <w:sz w:val="22"/>
                <w:szCs w:val="22"/>
                <w:highlight w:val="white"/>
                <w:u w:val="single"/>
                <w:lang w:val="en-US"/>
              </w:rPr>
              <w:t xml:space="preserve">www.zakupki.gov.ru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(до заключения договора), должен предоставить в адрес Заказчика на электронный адрес (</w:t>
            </w:r>
            <w:r>
              <w:rPr>
                <w:rStyle w:val="1029"/>
                <w:rFonts w:ascii="Times New Roman" w:hAnsi="Times New Roman" w:eastAsia="Times New Roman" w:cs="Times New Roman"/>
                <w:i w:val="0"/>
                <w:iCs w:val="0"/>
                <w:color w:val="0000ee"/>
                <w:sz w:val="22"/>
                <w:szCs w:val="22"/>
                <w:highlight w:val="white"/>
                <w:u w:val="single"/>
                <w:lang w:val="en-US"/>
              </w:rPr>
              <w:t xml:space="preserve">panina</w:t>
            </w:r>
            <w:r>
              <w:rPr>
                <w:rStyle w:val="1029"/>
                <w:rFonts w:ascii="Times New Roman" w:hAnsi="Times New Roman" w:eastAsia="Times New Roman" w:cs="Times New Roman"/>
                <w:i w:val="0"/>
                <w:iCs w:val="0"/>
                <w:color w:val="0000ee"/>
                <w:sz w:val="22"/>
                <w:szCs w:val="22"/>
                <w:highlight w:val="white"/>
                <w:u w:val="single"/>
                <w:lang w:val="en-US"/>
              </w:rPr>
              <w:t xml:space="preserve">-ev@dgk.ru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  <w:t xml:space="preserve">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04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40" w:type="dxa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  <w:p>
            <w:pPr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117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которые будут непосредственно на объектах оказывать услуги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rPr>
          <w:rStyle w:val="1082"/>
          <w:iCs/>
          <w:color w:val="ff0000"/>
          <w:sz w:val="24"/>
          <w:szCs w:val="24"/>
        </w:r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1135" w:right="962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iCs/>
          <w:color w:val="ff0000"/>
          <w:sz w:val="24"/>
          <w:szCs w:val="24"/>
        </w:rPr>
      </w:r>
      <w:r>
        <w:rPr>
          <w:rStyle w:val="1082"/>
          <w:iCs/>
          <w:color w:val="ff0000"/>
          <w:sz w:val="24"/>
          <w:szCs w:val="24"/>
        </w:rPr>
      </w:r>
      <w:r>
        <w:rPr>
          <w:rStyle w:val="1082"/>
          <w:iCs/>
          <w:color w:val="ff0000"/>
          <w:sz w:val="24"/>
          <w:szCs w:val="24"/>
        </w:rPr>
      </w:r>
    </w:p>
    <w:p>
      <w:pPr>
        <w:pStyle w:val="828"/>
        <w:ind w:left="0" w:firstLine="142"/>
        <w:keepLines/>
        <w:rPr>
          <w:sz w:val="24"/>
          <w:szCs w:val="24"/>
        </w:rPr>
      </w:pPr>
      <w:r/>
      <w:bookmarkStart w:id="21" w:name="_Toc53393312"/>
      <w:r/>
      <w:bookmarkStart w:id="22" w:name="_Toc53395937"/>
      <w:r/>
      <w:bookmarkStart w:id="23" w:name="_Toc54643710"/>
      <w:r/>
      <w:bookmarkStart w:id="24" w:name="_Toc46743519"/>
      <w:r/>
      <w:bookmarkStart w:id="25" w:name="_Toc51339699"/>
      <w:r>
        <w:rPr>
          <w:sz w:val="24"/>
          <w:szCs w:val="24"/>
        </w:rPr>
        <w:t xml:space="preserve">Требования к документации по ценообразованию</w:t>
      </w:r>
      <w:bookmarkEnd w:id="21"/>
      <w:r/>
      <w:bookmarkEnd w:id="22"/>
      <w:r>
        <w:rPr>
          <w:sz w:val="24"/>
          <w:szCs w:val="24"/>
        </w:rPr>
        <w:t xml:space="preserve"> на этапе закупки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обоснование стоимости заявки Участник должен предоставить «Коммерческое предложение» по форме, приведенной в Документации о </w:t>
      </w:r>
      <w:r>
        <w:rPr>
          <w:sz w:val="24"/>
          <w:szCs w:val="24"/>
          <w:highlight w:val="white"/>
        </w:rPr>
        <w:t xml:space="preserve">закупке. </w:t>
      </w:r>
      <w:r>
        <w:rPr>
          <w:sz w:val="24"/>
          <w:szCs w:val="24"/>
        </w:rPr>
        <w:t xml:space="preserve">Дополнительные документы по ценообразованию не предоставляются.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8"/>
        <w:ind w:left="357" w:hanging="357"/>
        <w:keepLines/>
        <w:rPr>
          <w:sz w:val="24"/>
          <w:szCs w:val="24"/>
        </w:rPr>
      </w:pPr>
      <w:r/>
      <w:bookmarkStart w:id="26" w:name="_Toc54281228"/>
      <w:r/>
      <w:bookmarkStart w:id="27" w:name="_Toc54643711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24"/>
      <w:r/>
      <w:bookmarkEnd w:id="25"/>
      <w:r/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</w:rPr>
        <w:t xml:space="preserve">Цена Договора формируется в соответствии с Расчетом стоимости услуг (приложение №2).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8"/>
        <w:ind w:left="357" w:hanging="357"/>
        <w:jc w:val="center"/>
        <w:keepLines/>
        <w:rPr>
          <w:b w:val="0"/>
          <w:caps/>
          <w:sz w:val="24"/>
          <w:szCs w:val="24"/>
        </w:rPr>
      </w:pPr>
      <w:r>
        <w:rPr>
          <w:iCs/>
          <w:sz w:val="24"/>
          <w:szCs w:val="24"/>
        </w:rPr>
        <w:t xml:space="preserve">Приложения</w:t>
      </w:r>
      <w:r>
        <w:rPr>
          <w:b w:val="0"/>
          <w:caps/>
          <w:sz w:val="24"/>
          <w:szCs w:val="24"/>
        </w:rPr>
      </w:r>
      <w:r>
        <w:rPr>
          <w:b w:val="0"/>
          <w:cap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82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82"/>
          <w:b w:val="0"/>
          <w:bCs/>
          <w:iCs/>
          <w:sz w:val="24"/>
          <w:szCs w:val="24"/>
        </w:rPr>
      </w:r>
      <w:r>
        <w:rPr>
          <w:rStyle w:val="1082"/>
          <w:b w:val="0"/>
          <w:bCs/>
          <w:iCs/>
          <w:sz w:val="24"/>
          <w:szCs w:val="24"/>
        </w:rPr>
      </w:r>
    </w:p>
    <w:p>
      <w:pPr>
        <w:jc w:val="both"/>
        <w:spacing w:before="20"/>
        <w:widowControl w:val="off"/>
        <w:tabs>
          <w:tab w:val="left" w:pos="426" w:leader="none"/>
        </w:tabs>
        <w:rPr>
          <w:color w:val="000000"/>
          <w:sz w:val="24"/>
          <w:szCs w:val="24"/>
        </w:rPr>
      </w:pPr>
      <w:r>
        <w:rPr>
          <w:rStyle w:val="1082"/>
          <w:b w:val="0"/>
          <w:bCs/>
          <w:iCs/>
          <w:sz w:val="24"/>
          <w:szCs w:val="24"/>
          <w:shd w:val="clear" w:color="auto" w:fill="ffffff" w:themeFill="background1"/>
        </w:rPr>
        <w:t xml:space="preserve">Приложение №1: </w:t>
      </w:r>
      <w:r>
        <w:rPr>
          <w:color w:val="000000" w:themeColor="text1"/>
          <w:sz w:val="24"/>
          <w:szCs w:val="24"/>
        </w:rPr>
        <w:t xml:space="preserve">Ведомость объемов услуг;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rStyle w:val="1082"/>
          <w:b w:val="0"/>
          <w:bCs/>
          <w:iCs/>
          <w:sz w:val="24"/>
          <w:szCs w:val="24"/>
          <w:shd w:val="clear" w:color="auto" w:fill="ffffff" w:themeFill="background1"/>
        </w:rPr>
        <w:t xml:space="preserve">Приложение №2: </w:t>
      </w:r>
      <w:r>
        <w:rPr>
          <w:sz w:val="24"/>
          <w:szCs w:val="24"/>
        </w:rPr>
        <w:t xml:space="preserve">Расчет стоимости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i/>
          <w:iCs/>
          <w:sz w:val="24"/>
          <w:szCs w:val="24"/>
          <w:highlight w:val="none"/>
        </w:rPr>
        <w:t xml:space="preserve">Приложение № 3</w:t>
      </w:r>
      <w:r>
        <w:rPr>
          <w:sz w:val="24"/>
          <w:szCs w:val="24"/>
          <w:highlight w:val="none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  <w:highlight w:val="none"/>
        </w:rPr>
        <w:t xml:space="preserve">Нормативные документы</w:t>
      </w:r>
      <w:r>
        <w:rPr>
          <w:i w:val="0"/>
          <w:iCs w:val="0"/>
          <w:color w:val="000000" w:themeColor="text1"/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82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82"/>
          <w:b w:val="0"/>
          <w:bCs/>
          <w:iCs/>
          <w:sz w:val="24"/>
          <w:szCs w:val="24"/>
        </w:rPr>
      </w:r>
      <w:r>
        <w:rPr>
          <w:rStyle w:val="1082"/>
          <w:b w:val="0"/>
          <w:bCs/>
          <w:iCs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br w:type="page" w:clear="all"/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053"/>
        <w:contextualSpacing w:val="0"/>
        <w:ind w:left="683"/>
        <w:jc w:val="right"/>
        <w:spacing w:before="20"/>
        <w:widowControl w:val="off"/>
        <w:tabs>
          <w:tab w:val="left" w:pos="426" w:leader="none"/>
        </w:tabs>
      </w:pPr>
      <w:r>
        <w:t xml:space="preserve">Приложение № 1 к Техническим требованиям</w:t>
      </w:r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93"/>
        <w:jc w:val="both"/>
        <w:tabs>
          <w:tab w:val="left" w:pos="850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center"/>
        <w:tabs>
          <w:tab w:val="left" w:pos="498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едомость объемов услуг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40"/>
        <w:jc w:val="center"/>
        <w:tabs>
          <w:tab w:val="left" w:pos="4980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bidi="ru-RU"/>
        </w:rPr>
        <w:t xml:space="preserve">по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Техническому обслуживанию программного обеспечения локальной системы автоматизированного управления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Woodward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, проверка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уставок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 и алгоритмов технологических защит газотурбинных установок для СП «ТЭЦ Восточная»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ind w:left="540"/>
        <w:jc w:val="center"/>
        <w:tabs>
          <w:tab w:val="left" w:pos="498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3"/>
        <w:numPr>
          <w:ilvl w:val="0"/>
          <w:numId w:val="32"/>
        </w:numPr>
        <w:spacing w:line="276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Описание и основные технические характеристики оборудования, включающее в себя: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3"/>
        <w:ind w:left="360"/>
        <w:spacing w:line="276" w:lineRule="auto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53"/>
        <w:ind w:left="0" w:firstLine="567"/>
        <w:jc w:val="both"/>
        <w:spacing w:line="276" w:lineRule="auto"/>
        <w:rPr>
          <w:rFonts w:ascii="Times New Roman" w:hAnsi="Times New Roman" w:cs="Times New Roman"/>
          <w:b w:val="0"/>
          <w:bCs w:val="0"/>
        </w:rPr>
      </w:pPr>
      <w:r>
        <w:rPr>
          <w:rStyle w:val="1045"/>
          <w:rFonts w:ascii="Times New Roman" w:hAnsi="Times New Roman" w:eastAsia="Times New Roman" w:cs="Times New Roman"/>
          <w:b w:val="0"/>
        </w:rPr>
        <w:t xml:space="preserve">Система автоматического управления ГТУ состоит из двух стоек: ТСР и МСС. Стойка управления ТСР состоит из интегрированной электронной системы управления подачей топлива, промышленного контроллера модели WOODWARD MICRONET, </w:t>
      </w:r>
      <w:r>
        <w:rPr>
          <w:rStyle w:val="1045"/>
          <w:rFonts w:ascii="Times New Roman" w:hAnsi="Times New Roman" w:eastAsia="Times New Roman" w:cs="Times New Roman"/>
          <w:b w:val="0"/>
        </w:rPr>
        <w:t xml:space="preserve">вибромониторинга</w:t>
      </w:r>
      <w:r>
        <w:rPr>
          <w:rStyle w:val="1045"/>
          <w:rFonts w:ascii="Times New Roman" w:hAnsi="Times New Roman" w:eastAsia="Times New Roman" w:cs="Times New Roman"/>
          <w:b w:val="0"/>
        </w:rPr>
        <w:t xml:space="preserve"> </w:t>
      </w:r>
      <w:r>
        <w:rPr>
          <w:rStyle w:val="1045"/>
          <w:rFonts w:ascii="Times New Roman" w:hAnsi="Times New Roman" w:eastAsia="Times New Roman" w:cs="Times New Roman"/>
          <w:b w:val="0"/>
          <w:lang w:val="en-US"/>
        </w:rPr>
        <w:t xml:space="preserve">Bently</w:t>
      </w:r>
      <w:r>
        <w:rPr>
          <w:rStyle w:val="1045"/>
          <w:rFonts w:ascii="Times New Roman" w:hAnsi="Times New Roman" w:eastAsia="Times New Roman" w:cs="Times New Roman"/>
          <w:b w:val="0"/>
        </w:rPr>
        <w:t xml:space="preserve">-</w:t>
      </w:r>
      <w:r>
        <w:rPr>
          <w:rStyle w:val="1045"/>
          <w:rFonts w:ascii="Times New Roman" w:hAnsi="Times New Roman" w:eastAsia="Times New Roman" w:cs="Times New Roman"/>
          <w:b w:val="0"/>
          <w:lang w:val="en-US"/>
        </w:rPr>
        <w:t xml:space="preserve">Nevada</w:t>
      </w:r>
      <w:r>
        <w:rPr>
          <w:rStyle w:val="1045"/>
          <w:rFonts w:ascii="Times New Roman" w:hAnsi="Times New Roman" w:eastAsia="Times New Roman" w:cs="Times New Roman"/>
          <w:b w:val="0"/>
        </w:rPr>
        <w:t xml:space="preserve">, цифровых счетчиков, цифрового модуля релейной защиты генератора и интерфейса HMI для отображения ключевых дискретных и аналоговых данных.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53"/>
        <w:ind w:left="360"/>
        <w:spacing w:line="276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3"/>
        <w:numPr>
          <w:ilvl w:val="1"/>
          <w:numId w:val="32"/>
        </w:numPr>
        <w:ind w:left="0" w:firstLine="425"/>
        <w:spacing w:line="276" w:lineRule="auto"/>
        <w:widowControl w:val="off"/>
        <w:tabs>
          <w:tab w:val="left" w:pos="85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bidi="ru-RU"/>
        </w:rPr>
        <w:t xml:space="preserve">Перечень газотурбинных установок, находящихся в эксплуатации </w:t>
      </w:r>
      <w:r>
        <w:rPr>
          <w:rFonts w:ascii="Times New Roman" w:hAnsi="Times New Roman" w:eastAsia="Times New Roman" w:cs="Times New Roman"/>
        </w:rPr>
        <w:t xml:space="preserve">на СП «ТЭЦ Восточная»</w:t>
      </w:r>
      <w:r>
        <w:rPr>
          <w:rFonts w:ascii="Times New Roman" w:hAnsi="Times New Roman" w:eastAsia="Times New Roman" w:cs="Times New Roman"/>
          <w:lang w:bidi="ru-RU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1010"/>
        <w:tblW w:w="10106" w:type="dxa"/>
        <w:tblInd w:w="-52" w:type="dxa"/>
        <w:tblLook w:val="04A0" w:firstRow="1" w:lastRow="0" w:firstColumn="1" w:lastColumn="0" w:noHBand="0" w:noVBand="1"/>
      </w:tblPr>
      <w:tblGrid>
        <w:gridCol w:w="597"/>
        <w:gridCol w:w="1828"/>
        <w:gridCol w:w="1976"/>
        <w:gridCol w:w="2025"/>
        <w:gridCol w:w="1701"/>
        <w:gridCol w:w="1979"/>
      </w:tblGrid>
      <w:tr>
        <w:tblPrEx/>
        <w:trPr>
          <w:trHeight w:val="397"/>
        </w:trPr>
        <w:tc>
          <w:tcPr>
            <w:tcW w:w="597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28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pStyle w:val="1108"/>
              <w:ind w:left="-15" w:right="-170"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Год выпуска/ввода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08"/>
              <w:ind w:left="-15" w:right="-170"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 эксплуатацию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25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Диспетчерское наименование/ зав. номер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Модель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9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Система автоматического управления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97"/>
        </w:trPr>
        <w:tc>
          <w:tcPr>
            <w:tcW w:w="597" w:type="dxa"/>
            <w:vAlign w:val="center"/>
            <w:textDirection w:val="lrTb"/>
            <w:noWrap w:val="false"/>
          </w:tcPr>
          <w:p>
            <w:pPr>
              <w:pStyle w:val="1108"/>
              <w:numPr>
                <w:ilvl w:val="0"/>
                <w:numId w:val="33"/>
              </w:numPr>
              <w:ind w:hanging="691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28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Газотурбинная установка ст. № 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pStyle w:val="1108"/>
              <w:ind w:left="-15" w:right="-170"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2013/2018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25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ГТУ-1/№7246324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 xml:space="preserve">LM-6000 PF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Woodward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MicroNet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97"/>
        </w:trPr>
        <w:tc>
          <w:tcPr>
            <w:tcW w:w="597" w:type="dxa"/>
            <w:vAlign w:val="center"/>
            <w:textDirection w:val="lrTb"/>
            <w:noWrap w:val="false"/>
          </w:tcPr>
          <w:p>
            <w:pPr>
              <w:pStyle w:val="1108"/>
              <w:numPr>
                <w:ilvl w:val="0"/>
                <w:numId w:val="33"/>
              </w:numPr>
              <w:ind w:hanging="691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28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Газотурбинная установка ст. № 2</w:t>
            </w:r>
            <w:r>
              <w:rPr>
                <w:rFonts w:ascii="Times New Roman" w:hAnsi="Times New Roman" w:cs="Times New Roman"/>
                <w:highlight w:val="red"/>
              </w:rPr>
            </w:r>
            <w:r>
              <w:rPr>
                <w:rFonts w:ascii="Times New Roman" w:hAnsi="Times New Roman" w:cs="Times New Roman"/>
                <w:highlight w:val="red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pStyle w:val="1108"/>
              <w:ind w:left="-15" w:right="-170"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2013/2018</w:t>
            </w:r>
            <w:r>
              <w:rPr>
                <w:rFonts w:ascii="Times New Roman" w:hAnsi="Times New Roman" w:cs="Times New Roman"/>
                <w:highlight w:val="red"/>
              </w:rPr>
            </w:r>
            <w:r>
              <w:rPr>
                <w:rFonts w:ascii="Times New Roman" w:hAnsi="Times New Roman" w:cs="Times New Roman"/>
                <w:highlight w:val="red"/>
              </w:rPr>
            </w:r>
          </w:p>
        </w:tc>
        <w:tc>
          <w:tcPr>
            <w:tcW w:w="2025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ГТУ-2/№7246325</w:t>
            </w:r>
            <w:r>
              <w:rPr>
                <w:rFonts w:ascii="Times New Roman" w:hAnsi="Times New Roman" w:cs="Times New Roman"/>
                <w:highlight w:val="red"/>
              </w:rPr>
            </w:r>
            <w:r>
              <w:rPr>
                <w:rFonts w:ascii="Times New Roman" w:hAnsi="Times New Roman" w:cs="Times New Roman"/>
                <w:highlight w:val="red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 xml:space="preserve">LM-6000 PF</w:t>
            </w:r>
            <w:r>
              <w:rPr>
                <w:rFonts w:ascii="Times New Roman" w:hAnsi="Times New Roman" w:cs="Times New Roman"/>
                <w:highlight w:val="red"/>
              </w:rPr>
            </w:r>
            <w:r>
              <w:rPr>
                <w:rFonts w:ascii="Times New Roman" w:hAnsi="Times New Roman" w:cs="Times New Roman"/>
                <w:highlight w:val="red"/>
              </w:rPr>
            </w:r>
          </w:p>
        </w:tc>
        <w:tc>
          <w:tcPr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Woodward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MicroNet</w:t>
            </w:r>
            <w:r>
              <w:rPr>
                <w:rFonts w:ascii="Times New Roman" w:hAnsi="Times New Roman" w:cs="Times New Roman"/>
                <w:highlight w:val="red"/>
              </w:rPr>
            </w:r>
            <w:r>
              <w:rPr>
                <w:rFonts w:ascii="Times New Roman" w:hAnsi="Times New Roman" w:cs="Times New Roman"/>
                <w:highlight w:val="red"/>
              </w:rPr>
            </w:r>
          </w:p>
        </w:tc>
      </w:tr>
      <w:tr>
        <w:tblPrEx/>
        <w:trPr>
          <w:trHeight w:val="397"/>
        </w:trPr>
        <w:tc>
          <w:tcPr>
            <w:tcW w:w="597" w:type="dxa"/>
            <w:vAlign w:val="center"/>
            <w:textDirection w:val="lrTb"/>
            <w:noWrap w:val="false"/>
          </w:tcPr>
          <w:p>
            <w:pPr>
              <w:pStyle w:val="1108"/>
              <w:numPr>
                <w:ilvl w:val="0"/>
                <w:numId w:val="33"/>
              </w:numPr>
              <w:ind w:hanging="691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28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Газотурбинная установка ст. № 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pStyle w:val="1108"/>
              <w:ind w:left="-15" w:right="-170"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2013/2018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25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ГТУ-3/№7246326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108"/>
              <w:ind w:firstLine="0"/>
              <w:spacing w:before="0" w:after="0" w:line="274" w:lineRule="exact"/>
              <w:shd w:val="clear" w:color="auto" w:fill="auto"/>
              <w:tabs>
                <w:tab w:val="left" w:pos="486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val="en-US"/>
              </w:rPr>
              <w:t xml:space="preserve">LM-6000 PF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Woodward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MicroNet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line="276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3"/>
        <w:numPr>
          <w:ilvl w:val="0"/>
          <w:numId w:val="32"/>
        </w:numPr>
        <w:spacing w:line="276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Объемы услуг по комплексному диагностическому обследованию: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39"/>
        <w:jc w:val="center"/>
        <w:tabs>
          <w:tab w:val="left" w:pos="4980" w:leader="none"/>
        </w:tabs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eastAsia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tbl>
      <w:tblPr>
        <w:tblW w:w="1017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4"/>
        <w:gridCol w:w="7010"/>
        <w:gridCol w:w="1428"/>
        <w:gridCol w:w="1260"/>
        <w:gridCol w:w="8"/>
      </w:tblGrid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Услуга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 количество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Проверка соблюдений требований к эксплуатации ЛСАУ «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Визуальная оценка состояния комплекса ЛСАУ, системы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перед плановым сервисным обслуживанием.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2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Сетевое оборудование (сетевые шкафы).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  <w:trHeight w:val="3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производительности сети данных (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Ethernet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), резервирование.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Устранение выявленных ошибок при проверке сетевого оборудования.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Программное обеспечение (ПО) ЛСАУ «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 (Системное ПО).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работоспособности ПО ЛСАУ «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  <w:trHeight w:val="4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Устранение выявленных неисправностей при проверке ПО ЛСАУ «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резервирования контроллеров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MicroNet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Plus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Снятие полных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бэкапов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систем (резервное копирование)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Устранение выявленных ошибок при проверке ЛСАУ «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4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Программное обеспечение (ПО) ЛСАУ «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», системы мониторинга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Bently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 (Прикладное ПО).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синхронизации приложений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архивирования (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Datalog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формирования отчетных документов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работы связи ЛСАУ со сторонними устройствами/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скадами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/приложениями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сигнализации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системы регистрации событий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Устранение выявленных ошибок при проверке прикладного ПО (системы синхронизации, архивирования данных и т.д.)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5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Ревизия системы.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Анализ журнала событий операционной системы АРМ.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Снятие полного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бэкапа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АРМ (резервное копирование)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Анализ буфера ошибок сетевых устройств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Анализ ошибок подсистемы ввода/вывода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LinkNET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Анализ журнала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Alarm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log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и системного журнала ПТК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Анализ схем управления на возникновение ошибок выполнения  команд.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Проверка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уставок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ТЗ и алгоритмов листов управления ЛСАУ 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  <w:trHeight w:val="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Ревизия системы безопасности (соблюдение прав доступа, установка несанкционированного ПО)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система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Устранение выявленных ошибок при ревизии системы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Прочие услуги.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Чистка контроллера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Woodward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от пыли и грязи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Чистка модулей расширения от пыли  и грязи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51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Чистка блоков питания от пыли и грязи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Чистка от пыли и грязи управляющей системы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MicroNet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Plus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Замена фильтрующих элементов шкафов контроллера 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12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Чистка модулей стойки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вибродиагностики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Bentley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Nevada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33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  <w:lang w:val="en-US"/>
              </w:rPr>
              <w:t xml:space="preserve">7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Документирование работ 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Оформление итогов оказанных услуг в виде отчета о результатах выполненных сервисных работ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Внесение изменений в инструкцию по эксплуатации (если требуется)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Внесение выполненных работ в формуляр ЛСАУ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Составление рекомендаций  Заказчику по возможным мероприятиям замены частей ЛСАУ/корректировки ПО и дальнейшему развитию АСУ ТП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комплект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2"/>
              </w:rPr>
              <w:t xml:space="preserve">Внеплановые услуги.</w:t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b/>
                <w:spacing w:val="-10"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ие сбоев и дефектов в работе оборудования, путем предоставления Исполнителем круглосуточных телефонных консультации Заказчику. Выполняются в течение календарного года дистанционно по заявкам Заказчика., в период с даты заключения договора по 31.12.2026 г. 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шт.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pacing w:val="-10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по факту</w:t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  <w:r>
              <w:rPr>
                <w:rFonts w:ascii="Times New Roman" w:hAnsi="Times New Roman" w:cs="Times New Roman"/>
                <w:spacing w:val="-10"/>
                <w:sz w:val="22"/>
              </w:rPr>
            </w:r>
          </w:p>
        </w:tc>
      </w:tr>
    </w:tbl>
    <w:p>
      <w:pPr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</w:r>
      <w:r>
        <w:rPr>
          <w:rFonts w:eastAsia="MS Mincho"/>
        </w:rPr>
      </w:r>
    </w:p>
    <w:p>
      <w:pPr>
        <w:ind w:firstLine="567"/>
        <w:jc w:val="both"/>
        <w:tabs>
          <w:tab w:val="left" w:pos="709" w:leader="none"/>
          <w:tab w:val="left" w:pos="6521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tabs>
          <w:tab w:val="left" w:pos="709" w:leader="none"/>
          <w:tab w:val="left" w:pos="6521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right="-193"/>
        <w:jc w:val="both"/>
        <w:tabs>
          <w:tab w:val="left" w:pos="850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  <w:highlight w:val="yellow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2 к Техническим требованиям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76" w:lineRule="auto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Расчет стоимости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085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0"/>
        <w:gridCol w:w="4331"/>
        <w:gridCol w:w="1301"/>
        <w:gridCol w:w="1364"/>
        <w:gridCol w:w="1178"/>
        <w:gridCol w:w="146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vAlign w:val="center"/>
            <w:textDirection w:val="lrTb"/>
            <w:noWrap w:val="false"/>
          </w:tcPr>
          <w:p>
            <w:pPr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№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Услуга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Единица измерения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 количество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Tahoma" w:cs="Droid Sans Devanagari"/>
                <w:b/>
                <w:sz w:val="23"/>
                <w:szCs w:val="23"/>
              </w:rPr>
              <w:t xml:space="preserve">Цена за единицу, руб. без НДС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Стоимость</w:t>
            </w: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, </w:t>
            </w: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руб</w:t>
            </w: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. </w:t>
            </w: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без</w:t>
            </w:r>
            <w:r>
              <w:rPr>
                <w:rFonts w:eastAsia="Tahoma" w:cs="Droid Sans Devanagari"/>
                <w:b/>
                <w:sz w:val="23"/>
                <w:szCs w:val="23"/>
                <w:lang w:val="en-GB"/>
              </w:rPr>
              <w:t xml:space="preserve"> НДС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Проверка соблюдений требований к эксплуатации ЛСАУ «</w:t>
            </w:r>
            <w:r>
              <w:rPr>
                <w:rFonts w:eastAsia="Verdana"/>
                <w:b/>
                <w:spacing w:val="-10"/>
                <w:sz w:val="23"/>
                <w:szCs w:val="23"/>
                <w:lang w:val="en-US"/>
              </w:rPr>
              <w:t xml:space="preserve">Woodward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b/>
                <w:spacing w:val="-10"/>
                <w:sz w:val="23"/>
                <w:szCs w:val="23"/>
                <w:lang w:val="en-US"/>
              </w:rPr>
              <w:t xml:space="preserve">Bently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b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Визуальная оценка состояния комплекса ЛСАУ, системы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Bently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перед плановым сервисным обслуживанием.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Сетевое оборудование (сетевые шкафы).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>
          <w:trHeight w:val="39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производительности сети данных (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Ethernet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), резервирование.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Устранение выявленных ошибок при проверке сетевого оборудования.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Программное обеспечение (ПО) ЛСАУ «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Woodward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Bently-Nevada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 (Системное ПО).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работоспособности ПО ЛСАУ «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Woodward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Bently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>
          <w:trHeight w:val="44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Устранение выявленных неисправностей при проверке ПО ЛСАУ «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Woodward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Bently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резервирования контроллеров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MicroNet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Plus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Снятие полных 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бэкапов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систем (резервное копирование)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Устранение выявленных ошибок при проверке ЛСАУ «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Woodward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Bently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Программное обеспечение (ПО) ЛСАУ «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Woodward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», системы мониторинга 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Bently-Nevada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 (Прикладное ПО).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синхронизации приложений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  <w:lang w:val="en-US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архивирования (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Datalog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)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формирования отчетных документов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работы связи ЛСАУ со сторонними устройствами/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скадами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/приложениями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сигнализации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системы регистрации событий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Устранение выявленных ошибок при проверке прикладного ПО (системы синхронизации, архивирования данных и т.д.)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Ревизия системы.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Анализ журнала событий операционной системы АРМ.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Снятие полного 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бэкапа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АРМ (резервное копирование)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Анализ буфера ошибок сетевых устройств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Анализ ошибок подсистемы ввода/вывода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LinkNET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Анализ журнала 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Alarm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log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и системного журнала ПТК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Анализ схем управления на возникновение ошибок выполнения  команд.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Проверка 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уставок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ТЗ и алгоритмов листов управления ЛСАУ 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jc w:val="both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Ревизия системы безопасности (соблюдение прав доступа, установка несанкционированного ПО)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система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Устранение выявленных ошибок при ревизии системы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Прочие услуги.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Чистка контроллера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Woodward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от пыли и грязи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Чистка модулей расширения от пыли  и грязи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51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Чистка блоков питания от пыли и грязи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Чистка от пыли и грязи управляющей системы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MicroNet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Plus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6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Замена фильтрующих элементов шкафов контроллера 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12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Чистка модулей стойки 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вибродиагностики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 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Bentley</w:t>
            </w:r>
            <w:r>
              <w:rPr>
                <w:rFonts w:eastAsia="Verdana"/>
                <w:spacing w:val="-10"/>
                <w:sz w:val="23"/>
                <w:szCs w:val="23"/>
              </w:rPr>
              <w:t xml:space="preserve">-</w:t>
            </w:r>
            <w:r>
              <w:rPr>
                <w:rFonts w:eastAsia="Verdana"/>
                <w:spacing w:val="-10"/>
                <w:sz w:val="23"/>
                <w:szCs w:val="23"/>
                <w:lang w:val="en-US"/>
              </w:rPr>
              <w:t xml:space="preserve">Nevada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33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Документирование работ 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jc w:val="both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Оформление итогов оказанных услуг в виде отчета о результатах выполненных сервисных работ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1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jc w:val="both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Внесение изменений в инструкцию по эксплуатации (если требуется)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1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Внесение выполненных работ в формуляр ЛСАУ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1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pPr>
              <w:jc w:val="both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Составление рекомендаций  Заказчику по возможным мероприятиям замены частей ЛСАУ/корректировки ПО и дальнейшему развитию АСУ ТП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комплект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1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85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contextualSpacing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Внеплановые услуги.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0" w:type="dxa"/>
            <w:textDirection w:val="lrTb"/>
            <w:noWrap w:val="false"/>
          </w:tcPr>
          <w:p>
            <w:pPr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1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Устранен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  <w:t xml:space="preserve">ие сбоев и дефектов в работе оборудования, путем предоставления Исполнителем круглосуточных телефонных консультации Заказчику. Выполняются в течение календарного года дистанционно по заявкам Заказчика., в период с момента подписания договора в</w:t>
            </w:r>
            <w:r>
              <w:rPr>
                <w:sz w:val="24"/>
                <w:szCs w:val="24"/>
              </w:rPr>
              <w:t xml:space="preserve"> течение 8 месяцев </w:t>
            </w:r>
            <w:r>
              <w:rPr>
                <w:rFonts w:ascii="Times New Roman" w:hAnsi="Times New Roman" w:eastAsia="Times New Roman" w:cs="Times New Roman"/>
                <w:spacing w:val="-10"/>
                <w:sz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шт.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4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  <w:t xml:space="preserve">по факту</w:t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4" w:type="dxa"/>
            <w:textDirection w:val="lrTb"/>
            <w:noWrap w:val="false"/>
          </w:tcPr>
          <w:p>
            <w:pPr>
              <w:jc w:val="right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Итого, руб. без НДС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4" w:type="dxa"/>
            <w:textDirection w:val="lrTb"/>
            <w:noWrap w:val="false"/>
          </w:tcPr>
          <w:p>
            <w:pPr>
              <w:jc w:val="right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НДС , руб. (       %)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4" w:type="dxa"/>
            <w:textDirection w:val="lrTb"/>
            <w:noWrap w:val="false"/>
          </w:tcPr>
          <w:p>
            <w:pPr>
              <w:jc w:val="right"/>
              <w:rPr>
                <w:rFonts w:eastAsia="Verdana"/>
                <w:b/>
                <w:spacing w:val="-10"/>
                <w:sz w:val="23"/>
                <w:szCs w:val="23"/>
              </w:rPr>
            </w:pP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Всего, 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руб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  <w:t xml:space="preserve"> с НДС</w:t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  <w:r>
              <w:rPr>
                <w:rFonts w:eastAsia="Verdana"/>
                <w:b/>
                <w:spacing w:val="-10"/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1" w:type="dxa"/>
            <w:textDirection w:val="lrTb"/>
            <w:noWrap w:val="false"/>
          </w:tcPr>
          <w:p>
            <w:pPr>
              <w:jc w:val="center"/>
              <w:rPr>
                <w:rFonts w:eastAsia="Verdana"/>
                <w:spacing w:val="-10"/>
                <w:sz w:val="23"/>
                <w:szCs w:val="23"/>
              </w:rPr>
            </w:pP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  <w:r>
              <w:rPr>
                <w:rFonts w:eastAsia="Verdana"/>
                <w:spacing w:val="-10"/>
                <w:sz w:val="23"/>
                <w:szCs w:val="23"/>
              </w:rPr>
            </w:r>
          </w:p>
        </w:tc>
      </w:tr>
    </w:tbl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</w:pPr>
      <w:r/>
      <w:r/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964" w:right="707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Garamond">
    <w:panose1 w:val="02020603050405020304"/>
  </w:font>
  <w:font w:name="MS Mincho">
    <w:panose1 w:val="0202060305040509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119830720"/>
      <w:docPartObj>
        <w:docPartGallery w:val="Page Numbers (Top of Page)"/>
        <w:docPartUnique w:val="true"/>
      </w:docPartObj>
      <w:rPr/>
    </w:sdtPr>
    <w:sdtContent>
      <w:p>
        <w:pPr>
          <w:pStyle w:val="100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>
          <w:t xml:space="preserve"> </w:t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rPr>
        <w:rStyle w:val="1026"/>
      </w:rPr>
      <w:framePr w:wrap="around" w:vAnchor="text" w:hAnchor="margin" w:xAlign="center" w:y="1"/>
    </w:pPr>
    <w:r>
      <w:rPr>
        <w:rStyle w:val="1026"/>
      </w:rPr>
      <w:fldChar w:fldCharType="begin"/>
    </w:r>
    <w:r>
      <w:rPr>
        <w:rStyle w:val="1026"/>
      </w:rPr>
      <w:instrText xml:space="preserve">PAGE  </w:instrText>
    </w:r>
    <w:r>
      <w:rPr>
        <w:rStyle w:val="1026"/>
      </w:rPr>
      <w:fldChar w:fldCharType="end"/>
    </w:r>
    <w:r>
      <w:rPr>
        <w:rStyle w:val="1026"/>
      </w:rPr>
    </w:r>
    <w:r>
      <w:rPr>
        <w:rStyle w:val="1026"/>
      </w:rPr>
    </w:r>
  </w:p>
  <w:p>
    <w:pPr>
      <w:pStyle w:val="100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17396700"/>
      <w:docPartObj>
        <w:docPartGallery w:val="Page Numbers (Top of Page)"/>
        <w:docPartUnique w:val="true"/>
      </w:docPartObj>
      <w:rPr/>
    </w:sdtPr>
    <w:sdtContent>
      <w:p>
        <w:pPr>
          <w:pStyle w:val="100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rPr>
        <w:rStyle w:val="1026"/>
      </w:rPr>
      <w:framePr w:wrap="around" w:vAnchor="text" w:hAnchor="margin" w:xAlign="center" w:y="1"/>
    </w:pPr>
    <w:r>
      <w:rPr>
        <w:rStyle w:val="1026"/>
      </w:rPr>
      <w:fldChar w:fldCharType="begin"/>
    </w:r>
    <w:r>
      <w:rPr>
        <w:rStyle w:val="1026"/>
      </w:rPr>
      <w:instrText xml:space="preserve">PAGE  </w:instrText>
    </w:r>
    <w:r>
      <w:rPr>
        <w:rStyle w:val="1026"/>
      </w:rPr>
      <w:fldChar w:fldCharType="end"/>
    </w:r>
    <w:r>
      <w:rPr>
        <w:rStyle w:val="1026"/>
      </w:rPr>
    </w:r>
    <w:r>
      <w:rPr>
        <w:rStyle w:val="1026"/>
      </w:rPr>
    </w:r>
  </w:p>
  <w:p>
    <w:pPr>
      <w:pStyle w:val="1006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259288252"/>
      <w:docPartObj>
        <w:docPartGallery w:val="Page Numbers (Top of Page)"/>
        <w:docPartUnique w:val="true"/>
      </w:docPartObj>
      <w:rPr/>
    </w:sdtPr>
    <w:sdtContent>
      <w:p>
        <w:pPr>
          <w:pStyle w:val="100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5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pStyle w:val="99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109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9">
    <w:multiLevelType w:val="hybridMultilevel"/>
    <w:lvl w:ilvl="0">
      <w:start w:val="4"/>
      <w:numFmt w:val="bullet"/>
      <w:pStyle w:val="1068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6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styleLink w:val="1076"/>
    <w:lvl w:ilvl="0">
      <w:start w:val="3"/>
      <w:numFmt w:val="decimal"/>
      <w:pStyle w:val="10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bullet"/>
      <w:isLgl w:val="false"/>
      <w:suff w:val="tab"/>
      <w:lvlText w:val=""/>
      <w:lvlJc w:val="left"/>
      <w:pPr>
        <w:ind w:left="1224" w:hanging="504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pStyle w:val="1105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17">
    <w:multiLevelType w:val="hybridMultilevel"/>
    <w:styleLink w:val="1079"/>
    <w:lvl w:ilvl="0">
      <w:start w:val="1"/>
      <w:numFmt w:val="decimal"/>
      <w:pStyle w:val="107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4" w:hanging="360"/>
      </w:pPr>
      <w:rPr>
        <w:rFonts w:hint="default" w:ascii="Symbol" w:hAnsi="Symbol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9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7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4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5">
    <w:multiLevelType w:val="hybridMultilevel"/>
    <w:lvl w:ilvl="0">
      <w:start w:val="1"/>
      <w:numFmt w:val="decimal"/>
      <w:pStyle w:val="82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3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3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8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bullet"/>
      <w:isLgl w:val="false"/>
      <w:suff w:val="tab"/>
      <w:lvlText w:val=""/>
      <w:lvlJc w:val="left"/>
      <w:pPr>
        <w:ind w:left="1224" w:hanging="504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25"/>
  </w:num>
  <w:num w:numId="5">
    <w:abstractNumId w:val="17"/>
  </w:num>
  <w:num w:numId="6">
    <w:abstractNumId w:val="28"/>
  </w:num>
  <w:num w:numId="7">
    <w:abstractNumId w:val="5"/>
  </w:num>
  <w:num w:numId="8">
    <w:abstractNumId w:val="10"/>
  </w:num>
  <w:num w:numId="9">
    <w:abstractNumId w:val="30"/>
  </w:num>
  <w:num w:numId="10">
    <w:abstractNumId w:val="1"/>
  </w:num>
  <w:num w:numId="11">
    <w:abstractNumId w:val="13"/>
  </w:num>
  <w:num w:numId="12">
    <w:abstractNumId w:val="12"/>
  </w:num>
  <w:num w:numId="13">
    <w:abstractNumId w:val="27"/>
  </w:num>
  <w:num w:numId="14">
    <w:abstractNumId w:val="22"/>
  </w:num>
  <w:num w:numId="15">
    <w:abstractNumId w:val="7"/>
  </w:num>
  <w:num w:numId="16">
    <w:abstractNumId w:val="29"/>
  </w:num>
  <w:num w:numId="17">
    <w:abstractNumId w:val="15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8"/>
  </w:num>
  <w:num w:numId="21">
    <w:abstractNumId w:val="8"/>
  </w:num>
  <w:num w:numId="22">
    <w:abstractNumId w:val="19"/>
  </w:num>
  <w:num w:numId="23">
    <w:abstractNumId w:val="24"/>
  </w:num>
  <w:num w:numId="24">
    <w:abstractNumId w:val="26"/>
  </w:num>
  <w:num w:numId="25">
    <w:abstractNumId w:val="3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"/>
  </w:num>
  <w:num w:numId="31">
    <w:abstractNumId w:val="16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7" w:default="1">
    <w:name w:val="Normal"/>
    <w:qFormat/>
    <w:pPr>
      <w:ind w:firstLine="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28">
    <w:name w:val="Heading 1"/>
    <w:basedOn w:val="830"/>
    <w:next w:val="827"/>
    <w:link w:val="840"/>
    <w:qFormat/>
    <w:pPr>
      <w:numPr>
        <w:ilvl w:val="0"/>
      </w:numPr>
      <w:outlineLvl w:val="0"/>
    </w:pPr>
    <w:rPr>
      <w:sz w:val="28"/>
      <w:szCs w:val="28"/>
    </w:rPr>
  </w:style>
  <w:style w:type="paragraph" w:styleId="829">
    <w:name w:val="Heading 2"/>
    <w:basedOn w:val="831"/>
    <w:next w:val="827"/>
    <w:link w:val="841"/>
    <w:qFormat/>
    <w:pPr>
      <w:outlineLvl w:val="1"/>
    </w:pPr>
  </w:style>
  <w:style w:type="paragraph" w:styleId="830">
    <w:name w:val="Heading 3"/>
    <w:basedOn w:val="827"/>
    <w:next w:val="827"/>
    <w:link w:val="8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1">
    <w:name w:val="Heading 4"/>
    <w:basedOn w:val="830"/>
    <w:next w:val="827"/>
    <w:link w:val="843"/>
    <w:qFormat/>
    <w:pPr>
      <w:numPr>
        <w:ilvl w:val="1"/>
      </w:numPr>
      <w:outlineLvl w:val="3"/>
    </w:pPr>
    <w:rPr>
      <w:bCs/>
    </w:rPr>
  </w:style>
  <w:style w:type="paragraph" w:styleId="832">
    <w:name w:val="Heading 5"/>
    <w:basedOn w:val="827"/>
    <w:next w:val="827"/>
    <w:link w:val="8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3">
    <w:name w:val="Heading 6"/>
    <w:basedOn w:val="827"/>
    <w:next w:val="827"/>
    <w:link w:val="84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4">
    <w:name w:val="Heading 7"/>
    <w:basedOn w:val="827"/>
    <w:next w:val="827"/>
    <w:link w:val="84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5">
    <w:name w:val="Heading 8"/>
    <w:basedOn w:val="827"/>
    <w:next w:val="827"/>
    <w:link w:val="84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36">
    <w:name w:val="Heading 9"/>
    <w:basedOn w:val="827"/>
    <w:next w:val="827"/>
    <w:link w:val="84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Заголовок 1 Знак"/>
    <w:basedOn w:val="837"/>
    <w:link w:val="828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41" w:customStyle="1">
    <w:name w:val="Заголовок 2 Знак"/>
    <w:basedOn w:val="837"/>
    <w:link w:val="829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42" w:customStyle="1">
    <w:name w:val="Заголовок 3 Знак"/>
    <w:basedOn w:val="837"/>
    <w:link w:val="830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43" w:customStyle="1">
    <w:name w:val="Заголовок 4 Знак"/>
    <w:basedOn w:val="837"/>
    <w:link w:val="831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44" w:customStyle="1">
    <w:name w:val="Заголовок 5 Знак"/>
    <w:basedOn w:val="837"/>
    <w:link w:val="832"/>
    <w:uiPriority w:val="9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845" w:customStyle="1">
    <w:name w:val="Заголовок 6 Знак"/>
    <w:basedOn w:val="837"/>
    <w:link w:val="833"/>
    <w:uiPriority w:val="9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846" w:customStyle="1">
    <w:name w:val="Заголовок 7 Знак"/>
    <w:basedOn w:val="837"/>
    <w:link w:val="834"/>
    <w:uiPriority w:val="9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47" w:customStyle="1">
    <w:name w:val="Заголовок 8 Знак"/>
    <w:basedOn w:val="837"/>
    <w:link w:val="835"/>
    <w:uiPriority w:val="9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848" w:customStyle="1">
    <w:name w:val="Заголовок 9 Знак"/>
    <w:basedOn w:val="837"/>
    <w:link w:val="836"/>
    <w:uiPriority w:val="9"/>
    <w:rPr>
      <w:rFonts w:ascii="Arial" w:hAnsi="Arial" w:eastAsia="Times New Roman" w:cs="Times New Roman"/>
      <w:lang w:eastAsia="ru-RU"/>
    </w:rPr>
  </w:style>
  <w:style w:type="character" w:styleId="849" w:customStyle="1">
    <w:name w:val="Title Char"/>
    <w:basedOn w:val="837"/>
    <w:uiPriority w:val="10"/>
    <w:rPr>
      <w:sz w:val="48"/>
      <w:szCs w:val="48"/>
    </w:rPr>
  </w:style>
  <w:style w:type="character" w:styleId="850" w:customStyle="1">
    <w:name w:val="Caption Char"/>
    <w:uiPriority w:val="99"/>
  </w:style>
  <w:style w:type="character" w:styleId="851" w:customStyle="1">
    <w:name w:val="Heading 1 Char"/>
    <w:basedOn w:val="837"/>
    <w:uiPriority w:val="9"/>
    <w:rPr>
      <w:rFonts w:ascii="Arial" w:hAnsi="Arial" w:eastAsia="Arial" w:cs="Arial"/>
      <w:sz w:val="40"/>
      <w:szCs w:val="40"/>
    </w:rPr>
  </w:style>
  <w:style w:type="character" w:styleId="852" w:customStyle="1">
    <w:name w:val="Heading 2 Char"/>
    <w:basedOn w:val="837"/>
    <w:uiPriority w:val="9"/>
    <w:rPr>
      <w:rFonts w:ascii="Arial" w:hAnsi="Arial" w:eastAsia="Arial" w:cs="Arial"/>
      <w:sz w:val="34"/>
    </w:rPr>
  </w:style>
  <w:style w:type="character" w:styleId="853" w:customStyle="1">
    <w:name w:val="Heading 3 Char"/>
    <w:basedOn w:val="837"/>
    <w:uiPriority w:val="9"/>
    <w:rPr>
      <w:rFonts w:ascii="Arial" w:hAnsi="Arial" w:eastAsia="Arial" w:cs="Arial"/>
      <w:sz w:val="30"/>
      <w:szCs w:val="30"/>
    </w:rPr>
  </w:style>
  <w:style w:type="character" w:styleId="854" w:customStyle="1">
    <w:name w:val="Heading 4 Char"/>
    <w:basedOn w:val="837"/>
    <w:uiPriority w:val="9"/>
    <w:rPr>
      <w:rFonts w:ascii="Arial" w:hAnsi="Arial" w:eastAsia="Arial" w:cs="Arial"/>
      <w:b/>
      <w:bCs/>
      <w:sz w:val="26"/>
      <w:szCs w:val="26"/>
    </w:rPr>
  </w:style>
  <w:style w:type="character" w:styleId="855" w:customStyle="1">
    <w:name w:val="Heading 5 Char"/>
    <w:basedOn w:val="837"/>
    <w:uiPriority w:val="9"/>
    <w:rPr>
      <w:rFonts w:ascii="Arial" w:hAnsi="Arial" w:eastAsia="Arial" w:cs="Arial"/>
      <w:b/>
      <w:bCs/>
      <w:sz w:val="24"/>
      <w:szCs w:val="24"/>
    </w:rPr>
  </w:style>
  <w:style w:type="character" w:styleId="856" w:customStyle="1">
    <w:name w:val="Heading 6 Char"/>
    <w:basedOn w:val="837"/>
    <w:uiPriority w:val="9"/>
    <w:rPr>
      <w:rFonts w:ascii="Arial" w:hAnsi="Arial" w:eastAsia="Arial" w:cs="Arial"/>
      <w:b/>
      <w:bCs/>
      <w:sz w:val="22"/>
      <w:szCs w:val="22"/>
    </w:rPr>
  </w:style>
  <w:style w:type="character" w:styleId="857" w:customStyle="1">
    <w:name w:val="Heading 7 Char"/>
    <w:basedOn w:val="8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8" w:customStyle="1">
    <w:name w:val="Heading 8 Char"/>
    <w:basedOn w:val="837"/>
    <w:uiPriority w:val="9"/>
    <w:rPr>
      <w:rFonts w:ascii="Arial" w:hAnsi="Arial" w:eastAsia="Arial" w:cs="Arial"/>
      <w:i/>
      <w:iCs/>
      <w:sz w:val="22"/>
      <w:szCs w:val="22"/>
    </w:rPr>
  </w:style>
  <w:style w:type="character" w:styleId="859" w:customStyle="1">
    <w:name w:val="Heading 9 Char"/>
    <w:basedOn w:val="837"/>
    <w:uiPriority w:val="9"/>
    <w:rPr>
      <w:rFonts w:ascii="Arial" w:hAnsi="Arial" w:eastAsia="Arial" w:cs="Arial"/>
      <w:i/>
      <w:iCs/>
      <w:sz w:val="21"/>
      <w:szCs w:val="21"/>
    </w:rPr>
  </w:style>
  <w:style w:type="paragraph" w:styleId="860">
    <w:name w:val="Title"/>
    <w:basedOn w:val="827"/>
    <w:next w:val="827"/>
    <w:link w:val="8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1" w:customStyle="1">
    <w:name w:val="Заголовок Знак"/>
    <w:basedOn w:val="837"/>
    <w:link w:val="860"/>
    <w:uiPriority w:val="10"/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862" w:customStyle="1">
    <w:name w:val="Subtitle Char"/>
    <w:basedOn w:val="837"/>
    <w:uiPriority w:val="11"/>
    <w:rPr>
      <w:sz w:val="24"/>
      <w:szCs w:val="24"/>
    </w:rPr>
  </w:style>
  <w:style w:type="character" w:styleId="863" w:customStyle="1">
    <w:name w:val="Quote Char"/>
    <w:uiPriority w:val="29"/>
    <w:rPr>
      <w:i/>
    </w:rPr>
  </w:style>
  <w:style w:type="character" w:styleId="864" w:customStyle="1">
    <w:name w:val="Intense Quote Char"/>
    <w:uiPriority w:val="30"/>
    <w:rPr>
      <w:i/>
    </w:rPr>
  </w:style>
  <w:style w:type="character" w:styleId="865" w:customStyle="1">
    <w:name w:val="Header Char"/>
    <w:basedOn w:val="837"/>
    <w:uiPriority w:val="99"/>
  </w:style>
  <w:style w:type="character" w:styleId="866" w:customStyle="1">
    <w:name w:val="Footer Char"/>
    <w:basedOn w:val="837"/>
    <w:uiPriority w:val="99"/>
  </w:style>
  <w:style w:type="character" w:styleId="867" w:customStyle="1">
    <w:name w:val="Нижний колонтитул Знак"/>
    <w:link w:val="1011"/>
    <w:uiPriority w:val="99"/>
  </w:style>
  <w:style w:type="table" w:styleId="868" w:customStyle="1">
    <w:name w:val="Table Grid Light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9">
    <w:name w:val="Plain Table 1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2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2">
    <w:name w:val="Plain Table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Plain Table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4">
    <w:name w:val="Grid Table 1 Light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1 Light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2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3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4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6" w:customStyle="1">
    <w:name w:val="Grid Table 4 - Accent 1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97" w:customStyle="1">
    <w:name w:val="Grid Table 4 - Accent 2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8" w:customStyle="1">
    <w:name w:val="Grid Table 4 - Accent 3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9" w:customStyle="1">
    <w:name w:val="Grid Table 4 - Accent 4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00" w:customStyle="1">
    <w:name w:val="Grid Table 4 - Accent 5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01" w:customStyle="1">
    <w:name w:val="Grid Table 4 - Accent 6"/>
    <w:basedOn w:val="838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02">
    <w:name w:val="Grid Table 5 Dark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5 Dark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9">
    <w:name w:val="Grid Table 6 Colorful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0" w:customStyle="1">
    <w:name w:val="Grid Table 6 Colorful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11" w:customStyle="1">
    <w:name w:val="Grid Table 6 Colorful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12" w:customStyle="1">
    <w:name w:val="Grid Table 6 Colorful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13" w:customStyle="1">
    <w:name w:val="Grid Table 6 Colorful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14" w:customStyle="1">
    <w:name w:val="Grid Table 6 Colorful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5" w:customStyle="1">
    <w:name w:val="Grid Table 6 Colorful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6">
    <w:name w:val="Grid Table 7 Colorful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7 Colorful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1 Light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36" w:customStyle="1">
    <w:name w:val="List Table 2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7">
    <w:name w:val="List Table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3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4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5 Dark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 w:customStyle="1">
    <w:name w:val="List Table 5 Dark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>
    <w:name w:val="List Table 6 Colorful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9" w:customStyle="1">
    <w:name w:val="List Table 6 Colorful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60" w:customStyle="1">
    <w:name w:val="List Table 6 Colorful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61" w:customStyle="1">
    <w:name w:val="List Table 6 Colorful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62" w:customStyle="1">
    <w:name w:val="List Table 6 Colorful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63" w:customStyle="1">
    <w:name w:val="List Table 6 Colorful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64" w:customStyle="1">
    <w:name w:val="List Table 6 Colorful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65">
    <w:name w:val="List Table 7 Colorful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7 Colorful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ned - Accent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3" w:customStyle="1">
    <w:name w:val="Lined - Accent 1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74" w:customStyle="1">
    <w:name w:val="Lined - Accent 2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5" w:customStyle="1">
    <w:name w:val="Lined - Accent 3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6" w:customStyle="1">
    <w:name w:val="Lined - Accent 4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7" w:customStyle="1">
    <w:name w:val="Lined - Accent 5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8" w:customStyle="1">
    <w:name w:val="Lined - Accent 6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9" w:customStyle="1">
    <w:name w:val="Bordered &amp; Lined - Accent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0" w:customStyle="1">
    <w:name w:val="Bordered &amp; Lined - Accent 1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81" w:customStyle="1">
    <w:name w:val="Bordered &amp; Lined - Accent 2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82" w:customStyle="1">
    <w:name w:val="Bordered &amp; Lined - Accent 3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3" w:customStyle="1">
    <w:name w:val="Bordered &amp; Lined - Accent 4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4" w:customStyle="1">
    <w:name w:val="Bordered &amp; Lined - Accent 5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85" w:customStyle="1">
    <w:name w:val="Bordered &amp; Lined - Accent 6"/>
    <w:basedOn w:val="838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6" w:customStyle="1">
    <w:name w:val="Bordered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7" w:customStyle="1">
    <w:name w:val="Bordered - Accent 1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88" w:customStyle="1">
    <w:name w:val="Bordered - Accent 2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9" w:customStyle="1">
    <w:name w:val="Bordered - Accent 3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90" w:customStyle="1">
    <w:name w:val="Bordered - Accent 4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91" w:customStyle="1">
    <w:name w:val="Bordered - Accent 5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92" w:customStyle="1">
    <w:name w:val="Bordered - Accent 6"/>
    <w:basedOn w:val="838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93" w:customStyle="1">
    <w:name w:val="Footnote Text Char"/>
    <w:uiPriority w:val="99"/>
    <w:rPr>
      <w:sz w:val="18"/>
    </w:rPr>
  </w:style>
  <w:style w:type="character" w:styleId="994" w:customStyle="1">
    <w:name w:val="Endnote Text Char"/>
    <w:uiPriority w:val="99"/>
    <w:rPr>
      <w:sz w:val="20"/>
    </w:rPr>
  </w:style>
  <w:style w:type="paragraph" w:styleId="995">
    <w:name w:val="table of figures"/>
    <w:basedOn w:val="827"/>
    <w:next w:val="827"/>
    <w:uiPriority w:val="99"/>
    <w:unhideWhenUsed/>
  </w:style>
  <w:style w:type="paragraph" w:styleId="996" w:customStyle="1">
    <w:name w:val="Название раздела инструкции"/>
    <w:basedOn w:val="827"/>
    <w:pPr>
      <w:jc w:val="center"/>
    </w:pPr>
    <w:rPr>
      <w:b/>
    </w:rPr>
  </w:style>
  <w:style w:type="paragraph" w:styleId="997" w:customStyle="1">
    <w:name w:val="Раздел положения"/>
    <w:basedOn w:val="82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8" w:customStyle="1">
    <w:name w:val="Подраздел раздела положения"/>
    <w:basedOn w:val="827"/>
    <w:pPr>
      <w:numPr>
        <w:ilvl w:val="1"/>
        <w:numId w:val="1"/>
      </w:numPr>
      <w:jc w:val="both"/>
      <w:spacing w:before="80" w:after="80"/>
    </w:pPr>
  </w:style>
  <w:style w:type="paragraph" w:styleId="999">
    <w:name w:val="footnote text"/>
    <w:basedOn w:val="827"/>
    <w:link w:val="1000"/>
    <w:rPr>
      <w:sz w:val="20"/>
      <w:szCs w:val="20"/>
    </w:rPr>
  </w:style>
  <w:style w:type="character" w:styleId="1000" w:customStyle="1">
    <w:name w:val="Текст сноски Знак"/>
    <w:basedOn w:val="837"/>
    <w:link w:val="9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1">
    <w:name w:val="footnote reference"/>
    <w:rPr>
      <w:vertAlign w:val="superscript"/>
    </w:rPr>
  </w:style>
  <w:style w:type="paragraph" w:styleId="1002" w:customStyle="1">
    <w:name w:val="Шапка 1"/>
    <w:basedOn w:val="82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03" w:customStyle="1">
    <w:name w:val="Шапка 2"/>
    <w:basedOn w:val="82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04" w:customStyle="1">
    <w:name w:val="Шапка 3"/>
    <w:basedOn w:val="82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5" w:customStyle="1">
    <w:name w:val="Название1"/>
    <w:basedOn w:val="827"/>
    <w:link w:val="1049"/>
    <w:uiPriority w:val="10"/>
    <w:qFormat/>
    <w:pPr>
      <w:jc w:val="center"/>
    </w:pPr>
    <w:rPr>
      <w:szCs w:val="20"/>
    </w:rPr>
  </w:style>
  <w:style w:type="paragraph" w:styleId="1006">
    <w:name w:val="Header"/>
    <w:basedOn w:val="827"/>
    <w:link w:val="1007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007" w:customStyle="1">
    <w:name w:val="Верхний колонтитул Знак"/>
    <w:basedOn w:val="837"/>
    <w:link w:val="100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8">
    <w:name w:val="Body Text Indent"/>
    <w:basedOn w:val="827"/>
    <w:link w:val="1009"/>
    <w:pPr>
      <w:ind w:left="360"/>
    </w:pPr>
    <w:rPr>
      <w:sz w:val="24"/>
      <w:szCs w:val="24"/>
    </w:rPr>
  </w:style>
  <w:style w:type="character" w:styleId="1009" w:customStyle="1">
    <w:name w:val="Основной текст с отступом Знак"/>
    <w:basedOn w:val="837"/>
    <w:link w:val="1008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10">
    <w:name w:val="Table Grid"/>
    <w:basedOn w:val="838"/>
    <w:uiPriority w:val="3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1">
    <w:name w:val="Footer"/>
    <w:basedOn w:val="827"/>
    <w:link w:val="867"/>
    <w:uiPriority w:val="99"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12" w:customStyle="1">
    <w:name w:val="Нижний колонтитул Знак1"/>
    <w:basedOn w:val="837"/>
    <w:uiPriority w:val="99"/>
    <w:semiHidden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3">
    <w:name w:val="Body Text"/>
    <w:basedOn w:val="827"/>
    <w:link w:val="1014"/>
    <w:pPr>
      <w:spacing w:after="120"/>
    </w:pPr>
  </w:style>
  <w:style w:type="character" w:styleId="1014" w:customStyle="1">
    <w:name w:val="Основной текст Знак"/>
    <w:basedOn w:val="837"/>
    <w:link w:val="1013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5">
    <w:name w:val="Body Text Indent 2"/>
    <w:basedOn w:val="827"/>
    <w:link w:val="1016"/>
    <w:pPr>
      <w:ind w:left="283"/>
      <w:spacing w:after="120" w:line="480" w:lineRule="auto"/>
    </w:pPr>
  </w:style>
  <w:style w:type="character" w:styleId="1016" w:customStyle="1">
    <w:name w:val="Основной текст с отступом 2 Знак"/>
    <w:basedOn w:val="837"/>
    <w:link w:val="101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>
    <w:name w:val="Body Text 3"/>
    <w:basedOn w:val="827"/>
    <w:link w:val="1018"/>
    <w:pPr>
      <w:spacing w:after="120"/>
    </w:pPr>
    <w:rPr>
      <w:sz w:val="16"/>
      <w:szCs w:val="16"/>
    </w:rPr>
  </w:style>
  <w:style w:type="character" w:styleId="1018" w:customStyle="1">
    <w:name w:val="Основной текст 3 Знак"/>
    <w:basedOn w:val="837"/>
    <w:link w:val="101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9">
    <w:name w:val="Body Text Indent 3"/>
    <w:basedOn w:val="827"/>
    <w:link w:val="1020"/>
    <w:pPr>
      <w:ind w:left="283"/>
      <w:spacing w:after="120"/>
    </w:pPr>
    <w:rPr>
      <w:sz w:val="16"/>
      <w:szCs w:val="16"/>
    </w:rPr>
  </w:style>
  <w:style w:type="character" w:styleId="1020" w:customStyle="1">
    <w:name w:val="Основной текст с отступом 3 Знак"/>
    <w:basedOn w:val="837"/>
    <w:link w:val="101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21">
    <w:name w:val="Body Text 2"/>
    <w:basedOn w:val="827"/>
    <w:link w:val="1022"/>
    <w:pPr>
      <w:spacing w:after="120" w:line="480" w:lineRule="auto"/>
    </w:pPr>
  </w:style>
  <w:style w:type="character" w:styleId="1022" w:customStyle="1">
    <w:name w:val="Основной текст 2 Знак"/>
    <w:basedOn w:val="837"/>
    <w:link w:val="102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23">
    <w:name w:val="Block Text"/>
    <w:basedOn w:val="827"/>
    <w:pPr>
      <w:ind w:left="-567" w:right="-766"/>
      <w:jc w:val="center"/>
    </w:pPr>
    <w:rPr>
      <w:b/>
      <w:bCs/>
      <w:sz w:val="24"/>
      <w:szCs w:val="20"/>
    </w:rPr>
  </w:style>
  <w:style w:type="paragraph" w:styleId="1024" w:customStyle="1">
    <w:name w:val="Подпункт"/>
    <w:basedOn w:val="827"/>
    <w:link w:val="1074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5" w:customStyle="1">
    <w:name w:val="Пункт2"/>
    <w:basedOn w:val="827"/>
    <w:link w:val="109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6">
    <w:name w:val="page number"/>
    <w:basedOn w:val="837"/>
  </w:style>
  <w:style w:type="paragraph" w:styleId="1027">
    <w:name w:val="toc 1"/>
    <w:basedOn w:val="827"/>
    <w:next w:val="82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8">
    <w:name w:val="toc 3"/>
    <w:basedOn w:val="827"/>
    <w:next w:val="827"/>
    <w:uiPriority w:val="39"/>
    <w:pPr>
      <w:ind w:left="280"/>
    </w:pPr>
    <w:rPr>
      <w:rFonts w:cstheme="minorHAnsi"/>
      <w:sz w:val="20"/>
      <w:szCs w:val="20"/>
    </w:rPr>
  </w:style>
  <w:style w:type="character" w:styleId="1029">
    <w:name w:val="Hyperlink"/>
    <w:uiPriority w:val="99"/>
    <w:rPr>
      <w:color w:val="0000ff"/>
      <w:u w:val="single"/>
    </w:rPr>
  </w:style>
  <w:style w:type="paragraph" w:styleId="1030" w:customStyle="1">
    <w:name w:val="Раздел регламента"/>
    <w:basedOn w:val="827"/>
  </w:style>
  <w:style w:type="paragraph" w:styleId="1031" w:customStyle="1">
    <w:name w:val="Приложение к регламенту"/>
    <w:basedOn w:val="827"/>
    <w:pPr>
      <w:jc w:val="right"/>
    </w:pPr>
  </w:style>
  <w:style w:type="paragraph" w:styleId="1032">
    <w:name w:val="toc 2"/>
    <w:basedOn w:val="827"/>
    <w:next w:val="827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033">
    <w:name w:val="Balloon Text"/>
    <w:basedOn w:val="827"/>
    <w:link w:val="1034"/>
    <w:semiHidden/>
    <w:rPr>
      <w:rFonts w:ascii="Tahoma" w:hAnsi="Tahoma" w:cs="Tahoma"/>
      <w:sz w:val="16"/>
      <w:szCs w:val="16"/>
    </w:rPr>
  </w:style>
  <w:style w:type="character" w:styleId="1034" w:customStyle="1">
    <w:name w:val="Текст выноски Знак"/>
    <w:basedOn w:val="837"/>
    <w:link w:val="1033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035">
    <w:name w:val="annotation reference"/>
    <w:semiHidden/>
    <w:rPr>
      <w:sz w:val="16"/>
      <w:szCs w:val="16"/>
    </w:rPr>
  </w:style>
  <w:style w:type="paragraph" w:styleId="1036">
    <w:name w:val="annotation text"/>
    <w:basedOn w:val="827"/>
    <w:link w:val="1037"/>
    <w:rPr>
      <w:sz w:val="20"/>
      <w:szCs w:val="20"/>
    </w:rPr>
  </w:style>
  <w:style w:type="character" w:styleId="1037" w:customStyle="1">
    <w:name w:val="Текст примечания Знак"/>
    <w:basedOn w:val="837"/>
    <w:link w:val="103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>
    <w:name w:val="annotation subject"/>
    <w:basedOn w:val="1036"/>
    <w:next w:val="1036"/>
    <w:link w:val="1039"/>
    <w:semiHidden/>
    <w:rPr>
      <w:b/>
      <w:bCs/>
    </w:rPr>
  </w:style>
  <w:style w:type="character" w:styleId="1039" w:customStyle="1">
    <w:name w:val="Тема примечания Знак"/>
    <w:basedOn w:val="1037"/>
    <w:link w:val="1038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0" w:customStyle="1">
    <w:name w:val="Обычный (веб)1"/>
    <w:basedOn w:val="82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41">
    <w:name w:val="toc 9"/>
    <w:basedOn w:val="827"/>
    <w:next w:val="82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42">
    <w:name w:val="toc 5"/>
    <w:basedOn w:val="827"/>
    <w:next w:val="82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43">
    <w:name w:val="toc 4"/>
    <w:basedOn w:val="827"/>
    <w:next w:val="827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044" w:customStyle="1">
    <w:name w:val="Раздел положения 2"/>
    <w:basedOn w:val="827"/>
    <w:pPr>
      <w:jc w:val="both"/>
      <w:pageBreakBefore/>
      <w:outlineLvl w:val="0"/>
    </w:pPr>
    <w:rPr>
      <w:b/>
    </w:rPr>
  </w:style>
  <w:style w:type="character" w:styleId="1045">
    <w:name w:val="Strong"/>
    <w:uiPriority w:val="22"/>
    <w:qFormat/>
    <w:rPr>
      <w:b/>
      <w:bCs/>
    </w:rPr>
  </w:style>
  <w:style w:type="paragraph" w:styleId="1046" w:customStyle="1">
    <w:name w:val="Знак Знак Знак Знак Знак Знак Знак Знак Знак"/>
    <w:basedOn w:val="82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47">
    <w:name w:val="No Spacing"/>
    <w:basedOn w:val="82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8">
    <w:name w:val="Caption"/>
    <w:basedOn w:val="827"/>
    <w:next w:val="827"/>
    <w:link w:val="85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49" w:customStyle="1">
    <w:name w:val="Название Знак"/>
    <w:link w:val="1005"/>
    <w:uiPriority w:val="1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50">
    <w:name w:val="Subtitle"/>
    <w:basedOn w:val="827"/>
    <w:next w:val="827"/>
    <w:link w:val="105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1" w:customStyle="1">
    <w:name w:val="Подзаголовок Знак"/>
    <w:basedOn w:val="837"/>
    <w:link w:val="1050"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1052">
    <w:name w:val="Emphasis"/>
    <w:uiPriority w:val="20"/>
    <w:qFormat/>
    <w:rPr>
      <w:i/>
      <w:iCs/>
    </w:rPr>
  </w:style>
  <w:style w:type="paragraph" w:styleId="1053">
    <w:name w:val="List Paragraph"/>
    <w:basedOn w:val="827"/>
    <w:link w:val="108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54">
    <w:name w:val="Quote"/>
    <w:basedOn w:val="827"/>
    <w:next w:val="827"/>
    <w:link w:val="105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5" w:customStyle="1">
    <w:name w:val="Цитата 2 Знак"/>
    <w:basedOn w:val="837"/>
    <w:link w:val="1054"/>
    <w:uiPriority w:val="29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paragraph" w:styleId="1056">
    <w:name w:val="Intense Quote"/>
    <w:basedOn w:val="827"/>
    <w:next w:val="827"/>
    <w:link w:val="105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7" w:customStyle="1">
    <w:name w:val="Выделенная цитата Знак"/>
    <w:basedOn w:val="837"/>
    <w:link w:val="1056"/>
    <w:uiPriority w:val="30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1058">
    <w:name w:val="Subtle Emphasis"/>
    <w:uiPriority w:val="19"/>
    <w:qFormat/>
    <w:rPr>
      <w:i/>
      <w:iCs/>
      <w:color w:val="808080"/>
    </w:rPr>
  </w:style>
  <w:style w:type="character" w:styleId="1059">
    <w:name w:val="Intense Emphasis"/>
    <w:uiPriority w:val="21"/>
    <w:qFormat/>
    <w:rPr>
      <w:b/>
      <w:bCs/>
      <w:i/>
      <w:iCs/>
      <w:color w:val="4f81bd"/>
    </w:rPr>
  </w:style>
  <w:style w:type="character" w:styleId="1060">
    <w:name w:val="Subtle Reference"/>
    <w:uiPriority w:val="31"/>
    <w:qFormat/>
    <w:rPr>
      <w:smallCaps/>
      <w:color w:val="c0504d"/>
      <w:u w:val="single"/>
    </w:rPr>
  </w:style>
  <w:style w:type="character" w:styleId="106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2">
    <w:name w:val="Book Title"/>
    <w:uiPriority w:val="33"/>
    <w:qFormat/>
    <w:rPr>
      <w:b/>
      <w:bCs/>
      <w:smallCaps/>
      <w:spacing w:val="5"/>
    </w:rPr>
  </w:style>
  <w:style w:type="paragraph" w:styleId="1063">
    <w:name w:val="TOC Heading"/>
    <w:basedOn w:val="828"/>
    <w:next w:val="82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4">
    <w:name w:val="E-mail Signature"/>
    <w:basedOn w:val="827"/>
    <w:link w:val="1065"/>
    <w:uiPriority w:val="99"/>
    <w:unhideWhenUsed/>
    <w:rPr>
      <w:rFonts w:eastAsia="Calibri"/>
      <w:sz w:val="24"/>
      <w:szCs w:val="24"/>
    </w:rPr>
  </w:style>
  <w:style w:type="character" w:styleId="1065" w:customStyle="1">
    <w:name w:val="Электронная подпись Знак"/>
    <w:basedOn w:val="837"/>
    <w:link w:val="1064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066" w:customStyle="1">
    <w:name w:val="Знак"/>
    <w:basedOn w:val="8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7" w:customStyle="1">
    <w:name w:val="Нумерованный список ур3"/>
    <w:basedOn w:val="82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8" w:customStyle="1">
    <w:name w:val="Нумерованный список 1"/>
    <w:basedOn w:val="82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ур2"/>
    <w:basedOn w:val="82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0">
    <w:name w:val="Revision"/>
    <w:hidden/>
    <w:uiPriority w:val="99"/>
    <w:semiHidden/>
    <w:pPr>
      <w:ind w:firstLine="0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071" w:customStyle="1">
    <w:name w:val="ConsPlusNormal"/>
    <w:pPr>
      <w:ind w:firstLine="720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72" w:customStyle="1">
    <w:name w:val="Знак Знак3 Знак Знак"/>
    <w:basedOn w:val="82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3" w:customStyle="1">
    <w:name w:val="Пункт"/>
    <w:basedOn w:val="82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74" w:customStyle="1">
    <w:name w:val="Подпункт Знак1"/>
    <w:link w:val="102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75" w:customStyle="1">
    <w:name w:val="Абзац списка1"/>
    <w:basedOn w:val="82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numbering" w:styleId="1076" w:customStyle="1">
    <w:name w:val="Стиль1"/>
    <w:uiPriority w:val="99"/>
    <w:pPr>
      <w:numPr>
        <w:ilvl w:val="0"/>
        <w:numId w:val="3"/>
      </w:numPr>
    </w:pPr>
  </w:style>
  <w:style w:type="paragraph" w:styleId="1077" w:customStyle="1">
    <w:name w:val="Таблица"/>
    <w:basedOn w:val="82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78" w:customStyle="1">
    <w:name w:val="blk"/>
  </w:style>
  <w:style w:type="numbering" w:styleId="1079" w:customStyle="1">
    <w:name w:val="Стиль2"/>
    <w:uiPriority w:val="99"/>
    <w:pPr>
      <w:numPr>
        <w:ilvl w:val="0"/>
        <w:numId w:val="5"/>
      </w:numPr>
    </w:pPr>
  </w:style>
  <w:style w:type="paragraph" w:styleId="1080" w:customStyle="1">
    <w:name w:val="Таблица шапка"/>
    <w:basedOn w:val="827"/>
    <w:pPr>
      <w:ind w:left="57" w:right="57"/>
      <w:keepNext/>
      <w:spacing w:before="40" w:after="40"/>
    </w:pPr>
    <w:rPr>
      <w:sz w:val="22"/>
      <w:szCs w:val="26"/>
    </w:rPr>
  </w:style>
  <w:style w:type="character" w:styleId="1081" w:customStyle="1">
    <w:name w:val="Абзац списка Знак"/>
    <w:link w:val="1053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082" w:customStyle="1">
    <w:name w:val="комментарий"/>
    <w:rPr>
      <w:b/>
      <w:i/>
      <w:shd w:val="clear" w:color="auto" w:fill="ffff99"/>
    </w:rPr>
  </w:style>
  <w:style w:type="paragraph" w:styleId="1083" w:customStyle="1">
    <w:name w:val="Подподпункт"/>
    <w:basedOn w:val="1024"/>
    <w:link w:val="108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84" w:customStyle="1">
    <w:name w:val="Подподпункт Знак"/>
    <w:link w:val="1083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085" w:customStyle="1">
    <w:name w:val="УРОВЕНЬ_(а)"/>
    <w:basedOn w:val="1053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6" w:customStyle="1">
    <w:name w:val="УРОВЕНЬ_-"/>
    <w:basedOn w:val="1053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87" w:customStyle="1">
    <w:name w:val="УРОВЕНЬ_Абзац_тип2"/>
    <w:basedOn w:val="1053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8" w:customStyle="1">
    <w:name w:val="УРОВЕНЬ_Абзац_тип3"/>
    <w:basedOn w:val="1053"/>
    <w:link w:val="109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9" w:customStyle="1">
    <w:name w:val="УРОВЕНЬ_Подпись"/>
    <w:basedOn w:val="1053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0" w:customStyle="1">
    <w:name w:val="УРОВЕНЬ_Абзац_тип3 Знак"/>
    <w:link w:val="1088"/>
    <w:rPr>
      <w:rFonts w:ascii="Times New Roman" w:hAnsi="Times New Roman" w:eastAsia="Calibri" w:cs="Times New Roman"/>
      <w:sz w:val="26"/>
      <w:szCs w:val="28"/>
    </w:rPr>
  </w:style>
  <w:style w:type="paragraph" w:styleId="1091" w:customStyle="1">
    <w:name w:val="Стиль Заголовок 1 + по ширине"/>
    <w:basedOn w:val="82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92">
    <w:name w:val="endnote text"/>
    <w:basedOn w:val="827"/>
    <w:link w:val="1093"/>
    <w:rPr>
      <w:sz w:val="20"/>
      <w:szCs w:val="20"/>
    </w:rPr>
  </w:style>
  <w:style w:type="character" w:styleId="1093" w:customStyle="1">
    <w:name w:val="Текст концевой сноски Знак"/>
    <w:basedOn w:val="837"/>
    <w:link w:val="109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94">
    <w:name w:val="endnote reference"/>
    <w:basedOn w:val="837"/>
    <w:rPr>
      <w:vertAlign w:val="superscript"/>
    </w:rPr>
  </w:style>
  <w:style w:type="paragraph" w:styleId="1095" w:customStyle="1">
    <w:name w:val="Заголовок 2 КВВ"/>
    <w:basedOn w:val="82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6" w:customStyle="1">
    <w:name w:val="Пункт2 Знак"/>
    <w:link w:val="102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097" w:customStyle="1">
    <w:name w:val="Таблица текст"/>
    <w:basedOn w:val="827"/>
    <w:pPr>
      <w:ind w:left="57" w:right="57"/>
      <w:spacing w:before="40" w:after="40"/>
    </w:pPr>
    <w:rPr>
      <w:sz w:val="24"/>
      <w:szCs w:val="26"/>
    </w:rPr>
  </w:style>
  <w:style w:type="paragraph" w:styleId="1098">
    <w:name w:val="Normal (Web)"/>
    <w:basedOn w:val="82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9" w:customStyle="1">
    <w:name w:val="УРОВЕНЬ_1."/>
    <w:basedOn w:val="1053"/>
    <w:link w:val="110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00" w:customStyle="1">
    <w:name w:val="УРОВЕНЬ_1. Знак"/>
    <w:link w:val="1099"/>
    <w:rPr>
      <w:rFonts w:ascii="Times New Roman" w:hAnsi="Times New Roman" w:eastAsia="Calibri" w:cs="Times New Roman"/>
      <w:caps/>
      <w:sz w:val="28"/>
      <w:szCs w:val="28"/>
    </w:rPr>
  </w:style>
  <w:style w:type="table" w:styleId="1101" w:customStyle="1">
    <w:name w:val="Сетка таблицы1"/>
    <w:basedOn w:val="838"/>
    <w:next w:val="1010"/>
    <w:uiPriority w:val="39"/>
    <w:pPr>
      <w:ind w:firstLine="0"/>
    </w:pPr>
    <w:rPr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2">
    <w:name w:val="toc 6"/>
    <w:basedOn w:val="827"/>
    <w:next w:val="82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3">
    <w:name w:val="toc 7"/>
    <w:basedOn w:val="827"/>
    <w:next w:val="82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4">
    <w:name w:val="toc 8"/>
    <w:basedOn w:val="827"/>
    <w:next w:val="82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105">
    <w:name w:val="List Bullet 2"/>
    <w:basedOn w:val="827"/>
    <w:pPr>
      <w:numPr>
        <w:ilvl w:val="0"/>
        <w:numId w:val="11"/>
      </w:numPr>
    </w:pPr>
    <w:rPr>
      <w:sz w:val="20"/>
      <w:szCs w:val="20"/>
    </w:rPr>
  </w:style>
  <w:style w:type="paragraph" w:styleId="1106" w:customStyle="1">
    <w:name w:val="Default"/>
    <w:pPr>
      <w:ind w:firstLine="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1107" w:customStyle="1">
    <w:name w:val="Основной текст (2)_"/>
    <w:basedOn w:val="837"/>
    <w:link w:val="1108"/>
    <w:rPr>
      <w:shd w:val="clear" w:color="auto" w:fill="ffffff"/>
    </w:rPr>
  </w:style>
  <w:style w:type="paragraph" w:styleId="1108" w:customStyle="1">
    <w:name w:val="Основной текст (2)"/>
    <w:basedOn w:val="827"/>
    <w:link w:val="1107"/>
    <w:pPr>
      <w:ind w:hanging="1000"/>
      <w:jc w:val="both"/>
      <w:spacing w:before="360" w:after="36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109" w:customStyle="1">
    <w:name w:val="Основной текст (2) + Курсив"/>
    <w:basedOn w:val="1107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Cs w:val="22"/>
      <w:u w:val="none"/>
      <w:shd w:val="clear" w:color="auto" w:fill="ffffff"/>
      <w:lang w:val="ru-RU" w:eastAsia="ru-RU" w:bidi="ru-RU"/>
    </w:rPr>
  </w:style>
  <w:style w:type="paragraph" w:styleId="1110" w:customStyle="1">
    <w:name w:val="Знак Знак Знак Знак Знак Знак"/>
    <w:basedOn w:val="827"/>
    <w:next w:val="828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11" w:customStyle="1">
    <w:name w:val="Основной текст (3)"/>
    <w:pPr>
      <w:ind w:firstLine="0"/>
      <w:jc w:val="center"/>
      <w:spacing w:after="12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 Александр Валерьевич</dc:creator>
  <cp:keywords/>
  <dc:description/>
  <cp:lastModifiedBy>khrapataya-ys</cp:lastModifiedBy>
  <cp:revision>19</cp:revision>
  <dcterms:created xsi:type="dcterms:W3CDTF">2024-03-05T03:03:00Z</dcterms:created>
  <dcterms:modified xsi:type="dcterms:W3CDTF">2026-03-30T01:51:12Z</dcterms:modified>
</cp:coreProperties>
</file>